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560BA0D9">
      <w:pPr>
        <w:rPr>
          <w:color w:val="000000"/>
          <w:lang w:eastAsia="zh-CN"/>
        </w:rPr>
      </w:pPr>
      <w:r>
        <w:rPr>
          <w:color w:val="000000"/>
          <w:lang w:eastAsia="zh-CN"/>
        </w:rPr>
        <w:pict>
          <v:shape id="_x0000_s2053" o:spid="_x0000_s2053" o:spt="75" alt="logo" type="#_x0000_t75" style="position:absolute;left:0pt;margin-left:418.4pt;margin-top:64.25pt;height:68.7pt;width:75.3pt;mso-position-horizontal-relative:page;mso-position-vertical-relative:page;z-index:251661312;mso-width-relative:page;mso-height-relative:page;" filled="f" o:preferrelative="t" stroked="f" coordsize="21600,21600">
            <v:path/>
            <v:fill on="f" focussize="0,0"/>
            <v:stroke on="f" joinstyle="miter"/>
            <v:imagedata r:id="rId13" chromakey="#E7F7EA" o:title="logo"/>
            <o:lock v:ext="edit" aspectratio="t"/>
          </v:shape>
        </w:pict>
      </w:r>
      <w:r>
        <w:rPr>
          <w:color w:val="000000"/>
          <w:lang w:eastAsia="zh-CN"/>
        </w:rPr>
        <w:t>ICS 65.020.30</w:t>
      </w:r>
    </w:p>
    <w:p w14:paraId="5AA90300">
      <w:pPr>
        <w:rPr>
          <w:color w:val="000000"/>
          <w:lang w:eastAsia="zh-CN"/>
        </w:rPr>
      </w:pPr>
      <w:r>
        <w:rPr>
          <w:rFonts w:hint="eastAsia"/>
          <w:color w:val="000000"/>
          <w:lang w:eastAsia="zh-CN"/>
        </w:rPr>
        <w:t xml:space="preserve">CCS </w:t>
      </w:r>
      <w:r>
        <w:rPr>
          <w:color w:val="000000"/>
          <w:lang w:eastAsia="zh-CN"/>
        </w:rPr>
        <w:t xml:space="preserve">B44 </w:t>
      </w:r>
    </w:p>
    <w:p w14:paraId="1CD2221C">
      <w:pPr>
        <w:jc w:val="right"/>
        <w:rPr>
          <w:color w:val="000000"/>
          <w:lang w:eastAsia="zh-CN"/>
        </w:rPr>
      </w:pPr>
    </w:p>
    <w:p w14:paraId="2354D547">
      <w:pPr>
        <w:jc w:val="right"/>
        <w:rPr>
          <w:color w:val="000000"/>
          <w:lang w:eastAsia="zh-CN"/>
        </w:rPr>
      </w:pPr>
    </w:p>
    <w:p w14:paraId="1EC86610">
      <w:pPr>
        <w:jc w:val="right"/>
        <w:rPr>
          <w:color w:val="000000"/>
          <w:lang w:eastAsia="zh-CN"/>
        </w:rPr>
      </w:pPr>
    </w:p>
    <w:p w14:paraId="7A3A7040">
      <w:pPr>
        <w:ind w:left="240" w:leftChars="100"/>
        <w:jc w:val="distribute"/>
        <w:rPr>
          <w:rFonts w:ascii="微软雅黑" w:hAnsi="微软雅黑" w:eastAsia="微软雅黑" w:cs="微软雅黑"/>
          <w:b/>
          <w:color w:val="000000"/>
          <w:spacing w:val="50"/>
          <w:w w:val="150"/>
          <w:sz w:val="36"/>
          <w:szCs w:val="48"/>
          <w:lang w:eastAsia="zh-CN"/>
        </w:rPr>
      </w:pPr>
      <w:r>
        <w:rPr>
          <w:b/>
          <w:spacing w:val="-89"/>
          <w:w w:val="150"/>
          <w:sz w:val="44"/>
          <w:lang w:eastAsia="zh-CN"/>
        </w:rPr>
        <w:t>中国</w:t>
      </w:r>
      <w:r>
        <w:rPr>
          <w:rFonts w:hint="eastAsia"/>
          <w:b/>
          <w:spacing w:val="-89"/>
          <w:w w:val="150"/>
          <w:sz w:val="44"/>
          <w:lang w:eastAsia="zh-CN"/>
        </w:rPr>
        <w:t>实验动物学会团体</w:t>
      </w:r>
      <w:r>
        <w:rPr>
          <w:b/>
          <w:spacing w:val="-89"/>
          <w:w w:val="150"/>
          <w:sz w:val="44"/>
          <w:lang w:eastAsia="zh-CN"/>
        </w:rPr>
        <w:t>标准</w:t>
      </w:r>
    </w:p>
    <w:p w14:paraId="6C7ED6C2">
      <w:pPr>
        <w:rPr>
          <w:color w:val="000000"/>
          <w:lang w:eastAsia="zh-CN"/>
        </w:rPr>
      </w:pPr>
    </w:p>
    <w:p w14:paraId="451535CA">
      <w:pPr>
        <w:jc w:val="right"/>
        <w:rPr>
          <w:color w:val="000000"/>
          <w:lang w:eastAsia="zh-CN"/>
        </w:rPr>
      </w:pPr>
      <w:r>
        <w:rPr>
          <w:color w:val="000000"/>
          <w:lang w:eastAsia="zh-CN"/>
        </w:rPr>
        <w:t xml:space="preserve">        </w:t>
      </w:r>
      <w:r>
        <w:rPr>
          <w:rFonts w:hint="eastAsia"/>
          <w:color w:val="000000"/>
          <w:lang w:eastAsia="zh-CN"/>
        </w:rPr>
        <w:t>T/CALAS xxx</w:t>
      </w:r>
      <w:r>
        <w:rPr>
          <w:color w:val="000000"/>
          <w:lang w:eastAsia="zh-CN"/>
        </w:rPr>
        <w:t>-20</w:t>
      </w:r>
      <w:r>
        <w:rPr>
          <w:rFonts w:hint="eastAsia"/>
          <w:color w:val="000000"/>
          <w:lang w:eastAsia="zh-CN"/>
        </w:rPr>
        <w:t>2x</w:t>
      </w:r>
    </w:p>
    <w:p w14:paraId="0D0B075E">
      <w:pPr>
        <w:rPr>
          <w:color w:val="000000"/>
          <w:u w:val="single"/>
          <w:lang w:eastAsia="zh-CN"/>
        </w:rPr>
      </w:pPr>
      <w:r>
        <w:rPr>
          <w:color w:val="000000"/>
          <w:u w:val="single"/>
          <w:lang w:eastAsia="zh-CN"/>
        </w:rPr>
        <w:t xml:space="preserve">                                                                                           </w:t>
      </w:r>
    </w:p>
    <w:p w14:paraId="72022FA9">
      <w:pPr>
        <w:rPr>
          <w:color w:val="000000"/>
          <w:lang w:eastAsia="zh-CN"/>
        </w:rPr>
      </w:pPr>
    </w:p>
    <w:p w14:paraId="7BE99020">
      <w:pPr>
        <w:rPr>
          <w:color w:val="000000"/>
          <w:lang w:eastAsia="zh-CN"/>
        </w:rPr>
      </w:pPr>
    </w:p>
    <w:p w14:paraId="3537CA0F">
      <w:pPr>
        <w:jc w:val="center"/>
        <w:rPr>
          <w:rFonts w:ascii="黑体" w:eastAsia="黑体" w:cs="黑体"/>
          <w:color w:val="000000"/>
          <w:spacing w:val="50"/>
          <w:sz w:val="48"/>
          <w:szCs w:val="48"/>
          <w:lang w:eastAsia="zh-CN"/>
        </w:rPr>
      </w:pPr>
    </w:p>
    <w:p w14:paraId="10726CE4">
      <w:pPr>
        <w:pStyle w:val="2"/>
        <w:jc w:val="center"/>
        <w:rPr>
          <w:rFonts w:ascii="黑体" w:hAnsi="黑体" w:eastAsia="黑体" w:cs="黑体"/>
          <w:sz w:val="48"/>
          <w:szCs w:val="48"/>
          <w:lang w:eastAsia="zh-CN"/>
        </w:rPr>
      </w:pPr>
      <w:r>
        <w:rPr>
          <w:rFonts w:hint="eastAsia" w:ascii="黑体" w:hAnsi="黑体" w:eastAsia="黑体" w:cs="黑体"/>
          <w:sz w:val="48"/>
          <w:szCs w:val="48"/>
          <w:lang w:eastAsia="zh-CN"/>
        </w:rPr>
        <w:t>实验动物 小鼠轮状病毒PCR检测方法</w:t>
      </w:r>
    </w:p>
    <w:p w14:paraId="7E02840D">
      <w:pPr>
        <w:rPr>
          <w:rFonts w:ascii="黑体" w:eastAsia="黑体"/>
          <w:color w:val="000000"/>
          <w:spacing w:val="40"/>
          <w:lang w:eastAsia="zh-CN"/>
        </w:rPr>
      </w:pPr>
    </w:p>
    <w:p w14:paraId="6AA558EE">
      <w:pPr>
        <w:jc w:val="center"/>
        <w:rPr>
          <w:color w:val="000000"/>
          <w:lang w:eastAsia="zh-CN"/>
        </w:rPr>
      </w:pPr>
      <w:r>
        <w:rPr>
          <w:color w:val="000000"/>
        </w:rPr>
        <w:t>Laboratory animal</w:t>
      </w:r>
      <w:r>
        <w:rPr>
          <w:rFonts w:hint="eastAsia"/>
          <w:color w:val="000000"/>
          <w:lang w:eastAsia="zh-CN"/>
        </w:rPr>
        <w:t xml:space="preserve">s - </w:t>
      </w:r>
      <w:r>
        <w:rPr>
          <w:color w:val="000000"/>
          <w:lang w:eastAsia="zh-CN"/>
        </w:rPr>
        <w:t>PCR method for mouse rotavirus</w:t>
      </w:r>
    </w:p>
    <w:p w14:paraId="2C85807F">
      <w:pPr>
        <w:jc w:val="center"/>
        <w:rPr>
          <w:color w:val="000000"/>
          <w:sz w:val="28"/>
          <w:szCs w:val="28"/>
          <w:lang w:eastAsia="zh-CN"/>
        </w:rPr>
      </w:pPr>
      <w:r>
        <w:rPr>
          <w:rFonts w:hint="eastAsia"/>
          <w:color w:val="000000"/>
          <w:sz w:val="28"/>
          <w:szCs w:val="28"/>
          <w:lang w:eastAsia="zh-CN"/>
        </w:rPr>
        <w:t>（征求意见稿）</w:t>
      </w:r>
    </w:p>
    <w:p w14:paraId="74DE8443">
      <w:pPr>
        <w:rPr>
          <w:color w:val="000000"/>
          <w:lang w:eastAsia="zh-CN"/>
        </w:rPr>
      </w:pPr>
    </w:p>
    <w:p w14:paraId="2B78A531">
      <w:pPr>
        <w:jc w:val="center"/>
        <w:rPr>
          <w:color w:val="000000"/>
          <w:sz w:val="30"/>
          <w:szCs w:val="30"/>
          <w:lang w:eastAsia="zh-CN"/>
        </w:rPr>
      </w:pPr>
    </w:p>
    <w:p w14:paraId="3E96C30C">
      <w:pPr>
        <w:rPr>
          <w:color w:val="000000"/>
          <w:lang w:eastAsia="zh-CN"/>
        </w:rPr>
      </w:pPr>
    </w:p>
    <w:p w14:paraId="687A40BF">
      <w:pPr>
        <w:rPr>
          <w:color w:val="000000"/>
          <w:lang w:eastAsia="zh-CN"/>
        </w:rPr>
      </w:pPr>
    </w:p>
    <w:p w14:paraId="510D7504">
      <w:pPr>
        <w:rPr>
          <w:color w:val="000000"/>
          <w:lang w:eastAsia="zh-CN"/>
        </w:rPr>
      </w:pPr>
    </w:p>
    <w:p w14:paraId="42EEEB76">
      <w:pPr>
        <w:rPr>
          <w:color w:val="000000"/>
          <w:lang w:eastAsia="zh-CN"/>
        </w:rPr>
      </w:pPr>
    </w:p>
    <w:p w14:paraId="5084DC8D">
      <w:pPr>
        <w:rPr>
          <w:color w:val="000000"/>
          <w:lang w:eastAsia="zh-CN"/>
        </w:rPr>
      </w:pPr>
    </w:p>
    <w:p w14:paraId="31D9929C">
      <w:pPr>
        <w:rPr>
          <w:color w:val="000000"/>
          <w:lang w:eastAsia="zh-CN"/>
        </w:rPr>
      </w:pPr>
    </w:p>
    <w:p w14:paraId="41C0CF00">
      <w:pPr>
        <w:rPr>
          <w:color w:val="000000"/>
          <w:lang w:eastAsia="zh-CN"/>
        </w:rPr>
      </w:pPr>
    </w:p>
    <w:p w14:paraId="1BBD4C45">
      <w:pPr>
        <w:rPr>
          <w:color w:val="000000"/>
          <w:lang w:eastAsia="zh-CN"/>
        </w:rPr>
      </w:pPr>
    </w:p>
    <w:p w14:paraId="1AAA4301">
      <w:pPr>
        <w:pBdr>
          <w:bottom w:val="single" w:color="000000" w:sz="12" w:space="6"/>
        </w:pBdr>
        <w:rPr>
          <w:color w:val="000000"/>
          <w:lang w:eastAsia="zh-CN"/>
        </w:rPr>
      </w:pPr>
      <w:r>
        <w:rPr>
          <w:color w:val="000000"/>
          <w:sz w:val="28"/>
          <w:szCs w:val="28"/>
          <w:lang w:eastAsia="zh-CN"/>
        </w:rPr>
        <w:t>20</w:t>
      </w:r>
      <w:r>
        <w:rPr>
          <w:rFonts w:hint="eastAsia"/>
          <w:color w:val="000000"/>
          <w:sz w:val="28"/>
          <w:szCs w:val="28"/>
          <w:lang w:eastAsia="zh-CN"/>
        </w:rPr>
        <w:t>2x</w:t>
      </w:r>
      <w:r>
        <w:rPr>
          <w:color w:val="000000"/>
          <w:sz w:val="28"/>
          <w:szCs w:val="28"/>
          <w:lang w:eastAsia="zh-CN"/>
        </w:rPr>
        <w:t>-</w:t>
      </w:r>
      <w:r>
        <w:rPr>
          <w:rFonts w:hint="eastAsia"/>
          <w:color w:val="000000"/>
          <w:sz w:val="28"/>
          <w:szCs w:val="28"/>
          <w:lang w:eastAsia="zh-CN"/>
        </w:rPr>
        <w:t>xx</w:t>
      </w:r>
      <w:r>
        <w:rPr>
          <w:color w:val="000000"/>
          <w:sz w:val="28"/>
          <w:szCs w:val="28"/>
          <w:lang w:eastAsia="zh-CN"/>
        </w:rPr>
        <w:t>-</w:t>
      </w:r>
      <w:r>
        <w:rPr>
          <w:rFonts w:hint="eastAsia"/>
          <w:color w:val="000000"/>
          <w:sz w:val="28"/>
          <w:szCs w:val="28"/>
          <w:lang w:eastAsia="zh-CN"/>
        </w:rPr>
        <w:t>xx</w:t>
      </w:r>
      <w:r>
        <w:rPr>
          <w:color w:val="000000"/>
          <w:sz w:val="28"/>
          <w:szCs w:val="28"/>
          <w:lang w:eastAsia="zh-CN"/>
        </w:rPr>
        <w:t xml:space="preserve">  </w:t>
      </w:r>
      <w:r>
        <w:rPr>
          <w:rFonts w:hint="eastAsia" w:ascii="黑体" w:eastAsia="黑体" w:cs="黑体"/>
          <w:color w:val="000000"/>
          <w:sz w:val="28"/>
          <w:szCs w:val="28"/>
          <w:lang w:eastAsia="zh-CN"/>
        </w:rPr>
        <w:t>发布</w:t>
      </w:r>
      <w:r>
        <w:rPr>
          <w:color w:val="000000"/>
          <w:sz w:val="28"/>
          <w:szCs w:val="28"/>
          <w:lang w:eastAsia="zh-CN"/>
        </w:rPr>
        <w:t xml:space="preserve">                          20</w:t>
      </w:r>
      <w:r>
        <w:rPr>
          <w:rFonts w:hint="eastAsia"/>
          <w:color w:val="000000"/>
          <w:sz w:val="28"/>
          <w:szCs w:val="28"/>
          <w:lang w:eastAsia="zh-CN"/>
        </w:rPr>
        <w:t>2x</w:t>
      </w:r>
      <w:r>
        <w:rPr>
          <w:color w:val="000000"/>
          <w:sz w:val="28"/>
          <w:szCs w:val="28"/>
          <w:lang w:eastAsia="zh-CN"/>
        </w:rPr>
        <w:t>-</w:t>
      </w:r>
      <w:r>
        <w:rPr>
          <w:rFonts w:hint="eastAsia"/>
          <w:color w:val="000000"/>
          <w:sz w:val="28"/>
          <w:szCs w:val="28"/>
          <w:lang w:eastAsia="zh-CN"/>
        </w:rPr>
        <w:t>xx</w:t>
      </w:r>
      <w:r>
        <w:rPr>
          <w:color w:val="000000"/>
          <w:sz w:val="28"/>
          <w:szCs w:val="28"/>
          <w:lang w:eastAsia="zh-CN"/>
        </w:rPr>
        <w:t>-</w:t>
      </w:r>
      <w:r>
        <w:rPr>
          <w:rFonts w:hint="eastAsia"/>
          <w:color w:val="000000"/>
          <w:sz w:val="28"/>
          <w:szCs w:val="28"/>
          <w:lang w:eastAsia="zh-CN"/>
        </w:rPr>
        <w:t>xx</w:t>
      </w:r>
      <w:r>
        <w:rPr>
          <w:color w:val="000000"/>
          <w:sz w:val="28"/>
          <w:szCs w:val="28"/>
          <w:lang w:eastAsia="zh-CN"/>
        </w:rPr>
        <w:t xml:space="preserve">  </w:t>
      </w:r>
      <w:r>
        <w:rPr>
          <w:rFonts w:hint="eastAsia" w:ascii="黑体" w:eastAsia="黑体" w:cs="黑体"/>
          <w:color w:val="000000"/>
          <w:sz w:val="28"/>
          <w:szCs w:val="28"/>
          <w:lang w:eastAsia="zh-CN"/>
        </w:rPr>
        <w:t>实施</w:t>
      </w:r>
    </w:p>
    <w:p w14:paraId="5BD9083D">
      <w:pPr>
        <w:jc w:val="center"/>
        <w:rPr>
          <w:rFonts w:ascii="仿宋_GB2312" w:eastAsia="仿宋_GB2312"/>
          <w:color w:val="000000"/>
          <w:w w:val="150"/>
          <w:lang w:eastAsia="zh-CN"/>
        </w:rPr>
      </w:pPr>
    </w:p>
    <w:tbl>
      <w:tblPr>
        <w:tblStyle w:val="21"/>
        <w:tblW w:w="0" w:type="auto"/>
        <w:jc w:val="center"/>
        <w:tblLayout w:type="fixed"/>
        <w:tblCellMar>
          <w:top w:w="0" w:type="dxa"/>
          <w:left w:w="108" w:type="dxa"/>
          <w:bottom w:w="0" w:type="dxa"/>
          <w:right w:w="108" w:type="dxa"/>
        </w:tblCellMar>
      </w:tblPr>
      <w:tblGrid>
        <w:gridCol w:w="6637"/>
        <w:gridCol w:w="964"/>
      </w:tblGrid>
      <w:tr w14:paraId="2F23D4BC">
        <w:tblPrEx>
          <w:tblCellMar>
            <w:top w:w="0" w:type="dxa"/>
            <w:left w:w="108" w:type="dxa"/>
            <w:bottom w:w="0" w:type="dxa"/>
            <w:right w:w="108" w:type="dxa"/>
          </w:tblCellMar>
        </w:tblPrEx>
        <w:trPr>
          <w:trHeight w:val="832" w:hRule="atLeast"/>
          <w:jc w:val="center"/>
        </w:trPr>
        <w:tc>
          <w:tcPr>
            <w:tcW w:w="6637" w:type="dxa"/>
          </w:tcPr>
          <w:p w14:paraId="7FD16FCA">
            <w:pPr>
              <w:pStyle w:val="13"/>
              <w:jc w:val="center"/>
              <w:rPr>
                <w:rFonts w:ascii="Times New Roman" w:hAnsi="Times New Roman" w:eastAsia="仿宋_GB2312"/>
                <w:color w:val="000000"/>
                <w:w w:val="150"/>
                <w:sz w:val="32"/>
                <w:szCs w:val="32"/>
                <w:lang w:eastAsia="zh-CN" w:bidi="en-US"/>
              </w:rPr>
            </w:pPr>
            <w:r>
              <w:rPr>
                <w:rFonts w:hint="eastAsia" w:ascii="黑体" w:hAnsi="黑体" w:eastAsia="黑体" w:cs="黑体"/>
                <w:color w:val="000000"/>
                <w:w w:val="150"/>
                <w:sz w:val="32"/>
                <w:szCs w:val="32"/>
                <w:lang w:eastAsia="zh-CN" w:bidi="en-US"/>
              </w:rPr>
              <w:t>中国实验动物学会 发布</w:t>
            </w:r>
          </w:p>
        </w:tc>
        <w:tc>
          <w:tcPr>
            <w:tcW w:w="964" w:type="dxa"/>
            <w:vAlign w:val="center"/>
          </w:tcPr>
          <w:p w14:paraId="7413CB23">
            <w:pPr>
              <w:pStyle w:val="13"/>
              <w:spacing w:line="160" w:lineRule="atLeast"/>
              <w:rPr>
                <w:rFonts w:ascii="Times New Roman" w:hAnsi="Times New Roman" w:eastAsia="仿宋_GB2312"/>
                <w:color w:val="000000"/>
                <w:w w:val="150"/>
                <w:lang w:eastAsia="zh-CN" w:bidi="en-US"/>
              </w:rPr>
            </w:pPr>
          </w:p>
        </w:tc>
      </w:tr>
    </w:tbl>
    <w:p w14:paraId="7B058BA3">
      <w:pPr>
        <w:jc w:val="center"/>
        <w:rPr>
          <w:rFonts w:ascii="仿宋_GB2312" w:eastAsia="仿宋_GB2312"/>
          <w:color w:val="000000"/>
          <w:w w:val="150"/>
          <w:lang w:eastAsia="zh-CN"/>
        </w:rPr>
      </w:pPr>
    </w:p>
    <w:p w14:paraId="4910EE0C">
      <w:pPr>
        <w:jc w:val="center"/>
        <w:rPr>
          <w:rFonts w:ascii="黑体" w:eastAsia="黑体"/>
          <w:color w:val="000000"/>
          <w:sz w:val="28"/>
          <w:szCs w:val="28"/>
          <w:lang w:eastAsia="zh-CN"/>
        </w:rPr>
        <w:sectPr>
          <w:headerReference r:id="rId5" w:type="first"/>
          <w:footerReference r:id="rId8" w:type="first"/>
          <w:headerReference r:id="rId3" w:type="default"/>
          <w:footerReference r:id="rId6" w:type="default"/>
          <w:headerReference r:id="rId4" w:type="even"/>
          <w:footerReference r:id="rId7" w:type="even"/>
          <w:pgSz w:w="11906" w:h="16838"/>
          <w:pgMar w:top="1440" w:right="1797" w:bottom="1440" w:left="1797" w:header="851" w:footer="992" w:gutter="0"/>
          <w:pgNumType w:start="0"/>
          <w:cols w:space="720" w:num="1"/>
          <w:titlePg/>
          <w:docGrid w:type="linesAndChars" w:linePitch="312" w:charSpace="0"/>
        </w:sectPr>
      </w:pPr>
    </w:p>
    <w:p w14:paraId="69CA62F5">
      <w:pPr>
        <w:jc w:val="center"/>
        <w:rPr>
          <w:color w:val="000000"/>
          <w:spacing w:val="50"/>
          <w:lang w:eastAsia="zh-CN"/>
        </w:rPr>
      </w:pPr>
    </w:p>
    <w:p w14:paraId="24DEDB3B">
      <w:pPr>
        <w:jc w:val="center"/>
        <w:rPr>
          <w:rFonts w:eastAsia="黑体"/>
          <w:color w:val="000000"/>
          <w:sz w:val="32"/>
          <w:szCs w:val="32"/>
          <w:lang w:eastAsia="zh-CN"/>
        </w:rPr>
      </w:pPr>
      <w:r>
        <w:rPr>
          <w:rFonts w:hint="eastAsia" w:eastAsia="黑体" w:cs="黑体"/>
          <w:color w:val="000000"/>
          <w:sz w:val="32"/>
          <w:szCs w:val="32"/>
          <w:lang w:eastAsia="zh-CN"/>
        </w:rPr>
        <w:t>前</w:t>
      </w:r>
      <w:r>
        <w:rPr>
          <w:rFonts w:eastAsia="黑体"/>
          <w:color w:val="000000"/>
          <w:sz w:val="32"/>
          <w:szCs w:val="32"/>
          <w:lang w:eastAsia="zh-CN"/>
        </w:rPr>
        <w:t xml:space="preserve">  </w:t>
      </w:r>
      <w:r>
        <w:rPr>
          <w:rFonts w:hint="eastAsia" w:eastAsia="黑体" w:cs="黑体"/>
          <w:color w:val="000000"/>
          <w:sz w:val="32"/>
          <w:szCs w:val="32"/>
          <w:lang w:eastAsia="zh-CN"/>
        </w:rPr>
        <w:t>言</w:t>
      </w:r>
    </w:p>
    <w:p w14:paraId="363945FB">
      <w:pPr>
        <w:rPr>
          <w:rFonts w:hint="default" w:ascii="Times New Roman" w:hAnsi="Times New Roman" w:cs="Times New Roman"/>
          <w:color w:val="000000"/>
          <w:lang w:eastAsia="zh-CN"/>
        </w:rPr>
      </w:pPr>
    </w:p>
    <w:p w14:paraId="1B2FC484">
      <w:pPr>
        <w:pStyle w:val="12"/>
        <w:spacing w:line="360" w:lineRule="auto"/>
        <w:ind w:firstLine="437"/>
        <w:rPr>
          <w:rFonts w:hint="default" w:ascii="Times New Roman" w:hAnsi="Times New Roman" w:cs="Times New Roman"/>
          <w:lang w:eastAsia="zh-CN"/>
        </w:rPr>
      </w:pPr>
      <w:r>
        <w:rPr>
          <w:rFonts w:hint="default" w:ascii="Times New Roman" w:hAnsi="Times New Roman" w:cs="Times New Roman"/>
          <w:lang w:eastAsia="zh-CN"/>
        </w:rPr>
        <w:t>本文件按照GB/T 1.1</w:t>
      </w:r>
      <w:r>
        <w:rPr>
          <w:rFonts w:hint="default" w:ascii="Times New Roman" w:hAnsi="Times New Roman" w:cs="Times New Roman"/>
          <w:spacing w:val="-4"/>
          <w:lang w:eastAsia="zh-CN"/>
        </w:rPr>
        <w:t>—</w:t>
      </w:r>
      <w:r>
        <w:rPr>
          <w:rFonts w:hint="default" w:ascii="Times New Roman" w:hAnsi="Times New Roman" w:cs="Times New Roman"/>
          <w:lang w:eastAsia="zh-CN"/>
        </w:rPr>
        <w:t>2020《标准化工作导则  第1部分：标准化文件的结构和起草规则》的规定起草。</w:t>
      </w:r>
    </w:p>
    <w:p w14:paraId="0174A3BA">
      <w:pPr>
        <w:pStyle w:val="12"/>
        <w:spacing w:line="360" w:lineRule="auto"/>
        <w:ind w:firstLine="437"/>
        <w:rPr>
          <w:rFonts w:hint="default" w:ascii="Times New Roman" w:hAnsi="Times New Roman" w:cs="Times New Roman"/>
          <w:lang w:eastAsia="zh-CN"/>
        </w:rPr>
      </w:pPr>
      <w:r>
        <w:rPr>
          <w:rFonts w:hint="default" w:ascii="Times New Roman" w:hAnsi="Times New Roman" w:cs="Times New Roman"/>
          <w:color w:val="000000"/>
          <w:lang w:eastAsia="zh-CN"/>
        </w:rPr>
        <w:t>请注意本文件的某些内容可能涉及专利。本文件的发布机构不承担识别专利的责任。</w:t>
      </w:r>
    </w:p>
    <w:p w14:paraId="5EC7AB9D">
      <w:pPr>
        <w:spacing w:line="360" w:lineRule="auto"/>
        <w:ind w:firstLine="435"/>
        <w:rPr>
          <w:rFonts w:hint="default" w:ascii="Times New Roman" w:hAnsi="Times New Roman" w:cs="Times New Roman"/>
          <w:color w:val="000000"/>
          <w:sz w:val="21"/>
          <w:szCs w:val="21"/>
          <w:lang w:eastAsia="zh-CN"/>
        </w:rPr>
      </w:pPr>
      <w:r>
        <w:rPr>
          <w:rFonts w:hint="default" w:ascii="Times New Roman" w:hAnsi="Times New Roman" w:cs="Times New Roman"/>
          <w:color w:val="000000"/>
          <w:sz w:val="21"/>
          <w:szCs w:val="21"/>
          <w:lang w:eastAsia="zh-CN"/>
        </w:rPr>
        <w:t>本文件由中国实验动物学会归口。</w:t>
      </w:r>
    </w:p>
    <w:p w14:paraId="540F84D8">
      <w:pPr>
        <w:spacing w:line="360" w:lineRule="auto"/>
        <w:ind w:firstLine="435"/>
        <w:rPr>
          <w:rFonts w:hint="default" w:ascii="Times New Roman" w:hAnsi="Times New Roman" w:cs="Times New Roman"/>
          <w:color w:val="000000"/>
          <w:sz w:val="21"/>
          <w:szCs w:val="21"/>
          <w:lang w:eastAsia="zh-CN"/>
        </w:rPr>
      </w:pPr>
      <w:r>
        <w:rPr>
          <w:rFonts w:hint="default" w:ascii="Times New Roman" w:hAnsi="Times New Roman" w:cs="Times New Roman"/>
          <w:color w:val="000000"/>
          <w:sz w:val="21"/>
          <w:szCs w:val="21"/>
          <w:lang w:eastAsia="zh-CN"/>
        </w:rPr>
        <w:t>本文件由全国实验动物标准化技术委员会（SAC/TC281）技术审查。</w:t>
      </w:r>
    </w:p>
    <w:p w14:paraId="200A4AD5">
      <w:pPr>
        <w:spacing w:line="360" w:lineRule="auto"/>
        <w:ind w:firstLine="435"/>
        <w:rPr>
          <w:rFonts w:hint="default" w:ascii="Times New Roman" w:hAnsi="Times New Roman" w:cs="Times New Roman"/>
          <w:color w:val="000000"/>
          <w:sz w:val="21"/>
          <w:szCs w:val="21"/>
          <w:lang w:eastAsia="zh-CN"/>
        </w:rPr>
      </w:pPr>
      <w:r>
        <w:rPr>
          <w:rFonts w:hint="default" w:ascii="Times New Roman" w:hAnsi="Times New Roman" w:cs="Times New Roman"/>
          <w:color w:val="000000"/>
          <w:sz w:val="21"/>
          <w:szCs w:val="21"/>
          <w:lang w:eastAsia="zh-CN"/>
        </w:rPr>
        <w:t>本文件由中国实验动物学会实验动物标准化专业委员会提出并组织起草。</w:t>
      </w:r>
    </w:p>
    <w:p w14:paraId="08BB3F29">
      <w:pPr>
        <w:spacing w:line="360" w:lineRule="auto"/>
        <w:ind w:firstLine="435"/>
        <w:rPr>
          <w:rFonts w:hint="default" w:ascii="Times New Roman" w:hAnsi="Times New Roman" w:cs="Times New Roman"/>
          <w:color w:val="000000"/>
          <w:sz w:val="21"/>
          <w:szCs w:val="21"/>
          <w:lang w:eastAsia="zh-CN"/>
        </w:rPr>
      </w:pPr>
      <w:r>
        <w:rPr>
          <w:rFonts w:hint="default" w:ascii="Times New Roman" w:hAnsi="Times New Roman" w:cs="Times New Roman"/>
          <w:color w:val="000000"/>
          <w:sz w:val="21"/>
          <w:szCs w:val="21"/>
          <w:lang w:eastAsia="zh-CN"/>
        </w:rPr>
        <w:t>本文件起草单位：中国食品药品检定研究院。</w:t>
      </w:r>
    </w:p>
    <w:p w14:paraId="363124BF">
      <w:pPr>
        <w:spacing w:line="360" w:lineRule="auto"/>
        <w:ind w:firstLine="435"/>
        <w:rPr>
          <w:rFonts w:hint="default" w:ascii="Times New Roman" w:hAnsi="Times New Roman" w:cs="Times New Roman"/>
          <w:color w:val="000000"/>
          <w:sz w:val="21"/>
          <w:szCs w:val="21"/>
          <w:lang w:eastAsia="zh-CN"/>
        </w:rPr>
      </w:pPr>
      <w:r>
        <w:rPr>
          <w:rFonts w:hint="default" w:ascii="Times New Roman" w:hAnsi="Times New Roman" w:cs="Times New Roman"/>
          <w:color w:val="000000"/>
          <w:sz w:val="21"/>
          <w:szCs w:val="21"/>
          <w:lang w:eastAsia="zh-CN"/>
        </w:rPr>
        <w:t>本文件主要起草人：李晓波、冯育芳、王吉、王莎莎、王淑菁、付瑞、岳秉飞、秦骁、李威。</w:t>
      </w:r>
    </w:p>
    <w:p w14:paraId="6157B208">
      <w:pPr>
        <w:spacing w:line="360" w:lineRule="auto"/>
        <w:ind w:firstLine="435"/>
        <w:rPr>
          <w:rFonts w:ascii="宋体"/>
          <w:color w:val="000000"/>
          <w:lang w:eastAsia="zh-CN"/>
        </w:rPr>
      </w:pPr>
    </w:p>
    <w:p w14:paraId="00CFCB4B">
      <w:pPr>
        <w:spacing w:line="360" w:lineRule="auto"/>
        <w:ind w:firstLine="435"/>
        <w:rPr>
          <w:color w:val="000000"/>
          <w:lang w:eastAsia="zh-CN"/>
        </w:rPr>
        <w:sectPr>
          <w:headerReference r:id="rId9" w:type="first"/>
          <w:pgSz w:w="11906" w:h="16838"/>
          <w:pgMar w:top="1440" w:right="1797" w:bottom="1440" w:left="1797" w:header="851" w:footer="992" w:gutter="0"/>
          <w:pgNumType w:start="0"/>
          <w:cols w:space="720" w:num="1"/>
          <w:titlePg/>
          <w:docGrid w:type="linesAndChars" w:linePitch="312" w:charSpace="0"/>
        </w:sectPr>
      </w:pPr>
    </w:p>
    <w:p w14:paraId="42C1F2A8">
      <w:pPr>
        <w:pStyle w:val="2"/>
        <w:jc w:val="center"/>
        <w:rPr>
          <w:rFonts w:hint="eastAsia" w:ascii="黑体" w:hAnsi="黑体" w:eastAsia="黑体" w:cs="黑体"/>
          <w:b w:val="0"/>
          <w:bCs w:val="0"/>
          <w:lang w:eastAsia="zh-CN"/>
        </w:rPr>
      </w:pPr>
      <w:r>
        <w:rPr>
          <w:rFonts w:hint="eastAsia" w:ascii="黑体" w:hAnsi="黑体" w:eastAsia="黑体" w:cs="黑体"/>
          <w:b w:val="0"/>
          <w:bCs w:val="0"/>
          <w:lang w:eastAsia="zh-CN"/>
        </w:rPr>
        <w:t>实验动物 小鼠轮状病毒PCR检测方法</w:t>
      </w:r>
    </w:p>
    <w:p w14:paraId="7CB99F24">
      <w:pPr>
        <w:spacing w:line="360" w:lineRule="auto"/>
        <w:ind w:firstLine="420" w:firstLineChars="200"/>
        <w:rPr>
          <w:b/>
          <w:bCs/>
          <w:color w:val="000000"/>
          <w:sz w:val="21"/>
          <w:lang w:eastAsia="zh-CN"/>
        </w:rPr>
      </w:pPr>
    </w:p>
    <w:p w14:paraId="04A1BF62">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val="en-US" w:eastAsia="zh-CN"/>
        </w:rPr>
        <w:t xml:space="preserve">1  </w:t>
      </w:r>
      <w:r>
        <w:rPr>
          <w:rFonts w:hint="eastAsia" w:ascii="黑体" w:hAnsi="黑体" w:eastAsia="黑体" w:cs="黑体"/>
          <w:color w:val="000000"/>
          <w:sz w:val="21"/>
          <w:lang w:eastAsia="zh-CN"/>
        </w:rPr>
        <w:t>范围</w:t>
      </w:r>
    </w:p>
    <w:p w14:paraId="6ACD859C">
      <w:pPr>
        <w:spacing w:line="360" w:lineRule="auto"/>
        <w:ind w:firstLine="420" w:firstLineChars="200"/>
        <w:rPr>
          <w:color w:val="000000"/>
          <w:sz w:val="21"/>
          <w:lang w:eastAsia="zh-CN"/>
        </w:rPr>
      </w:pPr>
      <w:r>
        <w:rPr>
          <w:rFonts w:hint="eastAsia"/>
          <w:color w:val="000000"/>
          <w:sz w:val="21"/>
          <w:lang w:eastAsia="zh-CN"/>
        </w:rPr>
        <w:t>本文件规定了小鼠轮状病毒PCR检测方法。</w:t>
      </w:r>
    </w:p>
    <w:p w14:paraId="423667F8">
      <w:pPr>
        <w:spacing w:line="360" w:lineRule="auto"/>
        <w:ind w:firstLine="420" w:firstLineChars="200"/>
        <w:rPr>
          <w:color w:val="000000"/>
          <w:sz w:val="21"/>
          <w:lang w:eastAsia="zh-CN"/>
        </w:rPr>
      </w:pPr>
      <w:r>
        <w:rPr>
          <w:rFonts w:hint="eastAsia"/>
          <w:color w:val="000000"/>
          <w:sz w:val="21"/>
          <w:lang w:eastAsia="zh-CN"/>
        </w:rPr>
        <w:t>本文件适用于实验动物怀疑本病发生，实验动物接种物、实验鼠环境和鼠源性生物制品中小鼠轮状病毒的检测。</w:t>
      </w:r>
    </w:p>
    <w:p w14:paraId="33C23A32">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2  规范性引用文件</w:t>
      </w:r>
    </w:p>
    <w:p w14:paraId="2D26E233">
      <w:pPr>
        <w:pStyle w:val="12"/>
        <w:spacing w:line="360" w:lineRule="auto"/>
        <w:ind w:firstLine="404" w:firstLineChars="200"/>
        <w:rPr>
          <w:rFonts w:hint="eastAsia" w:ascii="Times New Roman" w:hAnsi="Times New Roman" w:cs="Times New Roman"/>
          <w:spacing w:val="-4"/>
          <w:lang w:eastAsia="zh-CN"/>
        </w:rPr>
      </w:pPr>
      <w:r>
        <w:rPr>
          <w:rFonts w:hint="eastAsia" w:ascii="Times New Roman" w:hAnsi="Times New Roman" w:cs="Times New Roman"/>
          <w:spacing w:val="-4"/>
          <w:lang w:eastAsia="zh-CN"/>
        </w:rPr>
        <w:t>下列文件中的内容通过文中的规范性引用而构成本文件必不可少的条款</w:t>
      </w:r>
      <w:r>
        <w:rPr>
          <w:rFonts w:ascii="Times New Roman" w:hAnsi="Times New Roman" w:cs="Times New Roman"/>
          <w:spacing w:val="-4"/>
          <w:lang w:eastAsia="zh-CN"/>
        </w:rPr>
        <w:t>。</w:t>
      </w:r>
      <w:r>
        <w:rPr>
          <w:rFonts w:hint="eastAsia" w:ascii="Times New Roman" w:hAnsi="Times New Roman" w:cs="Times New Roman"/>
          <w:spacing w:val="-4"/>
          <w:lang w:eastAsia="zh-CN"/>
        </w:rPr>
        <w:t>其中，注日期的引用文件，仅该日期对应的版本适用于本文件；不注日期的引用文件，其最新版本（包括所有的修改单）适用于本文件。</w:t>
      </w:r>
    </w:p>
    <w:p w14:paraId="0B6F3387">
      <w:pPr>
        <w:pStyle w:val="55"/>
        <w:spacing w:line="360" w:lineRule="auto"/>
        <w:ind w:firstLine="420" w:firstLineChars="200"/>
        <w:rPr>
          <w:rFonts w:hint="eastAsia" w:ascii="Times New Roman" w:hAnsi="Times New Roman" w:cs="Times New Roman"/>
          <w:spacing w:val="-4"/>
          <w:lang w:eastAsia="zh-CN"/>
        </w:rPr>
      </w:pPr>
      <w:r>
        <w:rPr>
          <w:rFonts w:hint="default" w:ascii="Times New Roman" w:hAnsi="Times New Roman" w:eastAsia="宋体" w:cs="Times New Roman"/>
          <w:sz w:val="21"/>
        </w:rPr>
        <w:t>GB 19489 实验室 生物安全通用要求</w:t>
      </w:r>
    </w:p>
    <w:p w14:paraId="7529DDCF">
      <w:pPr>
        <w:pStyle w:val="12"/>
        <w:spacing w:line="360" w:lineRule="auto"/>
        <w:ind w:firstLine="404" w:firstLineChars="200"/>
        <w:rPr>
          <w:rFonts w:ascii="Times New Roman" w:hAnsi="Times New Roman" w:cs="Times New Roman"/>
          <w:spacing w:val="-4"/>
          <w:lang w:eastAsia="zh-CN"/>
        </w:rPr>
      </w:pPr>
      <w:r>
        <w:rPr>
          <w:rFonts w:hint="eastAsia" w:ascii="Times New Roman" w:hAnsi="Times New Roman" w:cs="Times New Roman"/>
          <w:spacing w:val="-4"/>
          <w:lang w:eastAsia="zh-CN"/>
        </w:rPr>
        <w:t>GB/T 6682 分析实验室用水规格和试验方法</w:t>
      </w:r>
    </w:p>
    <w:p w14:paraId="412CBAC7">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3  术语和定义</w:t>
      </w:r>
    </w:p>
    <w:p w14:paraId="664CBC30">
      <w:pPr>
        <w:pStyle w:val="55"/>
        <w:spacing w:line="360" w:lineRule="auto"/>
        <w:ind w:firstLine="420" w:firstLineChars="200"/>
        <w:rPr>
          <w:rFonts w:ascii="宋体" w:hAnsi="宋体"/>
          <w:sz w:val="21"/>
        </w:rPr>
      </w:pPr>
      <w:r>
        <w:rPr>
          <w:rFonts w:hint="eastAsia" w:ascii="宋体" w:hAnsi="宋体"/>
          <w:sz w:val="21"/>
        </w:rPr>
        <w:t>以下术语和定义适用于本文件。</w:t>
      </w:r>
    </w:p>
    <w:p w14:paraId="6696DA3F">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 xml:space="preserve">3.1 </w:t>
      </w:r>
    </w:p>
    <w:p w14:paraId="1ED77864">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 xml:space="preserve">    小鼠轮状病毒 </w:t>
      </w:r>
      <w:r>
        <w:rPr>
          <w:rFonts w:ascii="黑体" w:hAnsi="黑体" w:eastAsia="黑体" w:cs="黑体"/>
          <w:color w:val="000000"/>
          <w:sz w:val="21"/>
          <w:lang w:eastAsia="zh-CN"/>
        </w:rPr>
        <w:t>M</w:t>
      </w:r>
      <w:r>
        <w:rPr>
          <w:rFonts w:hint="eastAsia" w:ascii="黑体" w:hAnsi="黑体" w:eastAsia="黑体" w:cs="黑体"/>
          <w:color w:val="000000"/>
          <w:sz w:val="21"/>
          <w:lang w:eastAsia="zh-CN"/>
        </w:rPr>
        <w:t>urine</w:t>
      </w:r>
      <w:r>
        <w:rPr>
          <w:rFonts w:ascii="黑体" w:hAnsi="黑体" w:eastAsia="黑体" w:cs="黑体"/>
          <w:color w:val="000000"/>
          <w:sz w:val="21"/>
          <w:lang w:eastAsia="zh-CN"/>
        </w:rPr>
        <w:t xml:space="preserve"> rotavirus</w:t>
      </w:r>
    </w:p>
    <w:p w14:paraId="381F2C2C">
      <w:pPr>
        <w:spacing w:line="360" w:lineRule="auto"/>
        <w:ind w:firstLine="480"/>
        <w:rPr>
          <w:color w:val="000000"/>
          <w:sz w:val="21"/>
          <w:lang w:eastAsia="zh-CN"/>
        </w:rPr>
      </w:pPr>
      <w:r>
        <w:rPr>
          <w:rFonts w:hint="eastAsia"/>
          <w:color w:val="000000"/>
          <w:sz w:val="21"/>
          <w:lang w:eastAsia="zh-CN"/>
        </w:rPr>
        <w:t>是导致乳鼠流行性腹泻的病原，属呼肠病毒科，轮状病毒属，基因组为双股RNA。</w:t>
      </w:r>
    </w:p>
    <w:p w14:paraId="1113B108">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3.2</w:t>
      </w:r>
    </w:p>
    <w:p w14:paraId="57F62449">
      <w:pPr>
        <w:spacing w:line="360" w:lineRule="auto"/>
        <w:ind w:firstLine="420" w:firstLineChars="200"/>
        <w:rPr>
          <w:rFonts w:ascii="黑体" w:hAnsi="黑体" w:eastAsia="黑体" w:cs="黑体"/>
          <w:color w:val="000000"/>
          <w:sz w:val="21"/>
          <w:lang w:eastAsia="zh-CN"/>
        </w:rPr>
      </w:pPr>
      <w:r>
        <w:rPr>
          <w:rFonts w:ascii="黑体" w:hAnsi="黑体" w:eastAsia="黑体" w:cs="黑体"/>
          <w:color w:val="000000"/>
          <w:sz w:val="21"/>
          <w:lang w:eastAsia="zh-CN"/>
        </w:rPr>
        <w:t>逆转录实时荧光聚合酶链式反应 real-time quantitative reverse transcription polymerase chain reaction</w:t>
      </w:r>
      <w:r>
        <w:rPr>
          <w:rFonts w:hint="eastAsia" w:ascii="黑体" w:hAnsi="黑体" w:eastAsia="黑体" w:cs="黑体"/>
          <w:color w:val="000000"/>
          <w:sz w:val="21"/>
          <w:lang w:eastAsia="zh-CN"/>
        </w:rPr>
        <w:t>；</w:t>
      </w:r>
      <w:r>
        <w:rPr>
          <w:rFonts w:ascii="黑体" w:hAnsi="黑体" w:eastAsia="黑体" w:cs="黑体"/>
          <w:color w:val="000000"/>
          <w:sz w:val="21"/>
          <w:lang w:eastAsia="zh-CN"/>
        </w:rPr>
        <w:t xml:space="preserve"> real-time R</w:t>
      </w:r>
      <w:r>
        <w:rPr>
          <w:rFonts w:hint="eastAsia" w:ascii="黑体" w:hAnsi="黑体" w:eastAsia="黑体" w:cs="黑体"/>
          <w:color w:val="000000"/>
          <w:sz w:val="21"/>
          <w:lang w:eastAsia="zh-CN"/>
        </w:rPr>
        <w:t>T</w:t>
      </w:r>
      <w:r>
        <w:rPr>
          <w:rFonts w:ascii="黑体" w:hAnsi="黑体" w:eastAsia="黑体" w:cs="黑体"/>
          <w:color w:val="000000"/>
          <w:sz w:val="21"/>
          <w:lang w:eastAsia="zh-CN"/>
        </w:rPr>
        <w:t>-PCR</w:t>
      </w:r>
    </w:p>
    <w:p w14:paraId="615D748F">
      <w:pPr>
        <w:spacing w:line="360" w:lineRule="auto"/>
        <w:ind w:firstLine="420" w:firstLineChars="200"/>
        <w:rPr>
          <w:color w:val="000000"/>
          <w:sz w:val="21"/>
          <w:lang w:eastAsia="zh-CN"/>
        </w:rPr>
      </w:pPr>
      <w:r>
        <w:rPr>
          <w:color w:val="000000"/>
          <w:sz w:val="21"/>
          <w:lang w:eastAsia="zh-CN"/>
        </w:rPr>
        <w:t>将RNA逆转录为cDNA后再作为模板进行实时荧光PCR扩增。PCR反应体系中加入一对引物的同时加入一条特异性的荧光探针</w:t>
      </w:r>
      <w:r>
        <w:rPr>
          <w:rFonts w:hint="eastAsia"/>
          <w:color w:val="000000"/>
          <w:sz w:val="21"/>
          <w:lang w:eastAsia="zh-CN"/>
        </w:rPr>
        <w:t>，</w:t>
      </w:r>
      <w:r>
        <w:rPr>
          <w:color w:val="000000"/>
          <w:sz w:val="21"/>
          <w:lang w:eastAsia="zh-CN"/>
        </w:rPr>
        <w:t>该探针为</w:t>
      </w:r>
      <w:r>
        <w:rPr>
          <w:rFonts w:hint="eastAsia"/>
          <w:color w:val="000000"/>
          <w:sz w:val="21"/>
          <w:lang w:eastAsia="zh-CN"/>
        </w:rPr>
        <w:t>一寡核苷酸</w:t>
      </w:r>
      <w:r>
        <w:rPr>
          <w:color w:val="000000"/>
          <w:sz w:val="21"/>
          <w:lang w:eastAsia="zh-CN"/>
        </w:rPr>
        <w:t>片段,两端分别标记一个报告荧光基团和一个淬灭荧光基团。探针完整时</w:t>
      </w:r>
      <w:r>
        <w:rPr>
          <w:rFonts w:hint="eastAsia"/>
          <w:color w:val="000000"/>
          <w:sz w:val="21"/>
          <w:lang w:eastAsia="zh-CN"/>
        </w:rPr>
        <w:t>，</w:t>
      </w:r>
      <w:r>
        <w:rPr>
          <w:color w:val="000000"/>
          <w:sz w:val="21"/>
          <w:lang w:eastAsia="zh-CN"/>
        </w:rPr>
        <w:t>报告基团发射的荧光信号被淬灭基团吸收；PCR特异性扩增时</w:t>
      </w:r>
      <w:r>
        <w:rPr>
          <w:rFonts w:hint="eastAsia"/>
          <w:color w:val="000000"/>
          <w:sz w:val="21"/>
          <w:lang w:eastAsia="zh-CN"/>
        </w:rPr>
        <w:t>，</w:t>
      </w:r>
      <w:r>
        <w:rPr>
          <w:rFonts w:hint="eastAsia"/>
          <w:i/>
          <w:iCs/>
          <w:color w:val="000000"/>
          <w:sz w:val="21"/>
          <w:lang w:eastAsia="zh-CN"/>
        </w:rPr>
        <w:t>Taq</w:t>
      </w:r>
      <w:r>
        <w:rPr>
          <w:rFonts w:hint="eastAsia"/>
          <w:color w:val="000000"/>
          <w:sz w:val="21"/>
          <w:lang w:eastAsia="zh-CN"/>
        </w:rPr>
        <w:t>酶</w:t>
      </w:r>
      <w:r>
        <w:rPr>
          <w:color w:val="000000"/>
          <w:sz w:val="21"/>
          <w:lang w:eastAsia="zh-CN"/>
        </w:rPr>
        <w:t xml:space="preserve">的5' </w:t>
      </w:r>
      <w:r>
        <w:rPr>
          <w:rFonts w:hint="eastAsia"/>
          <w:color w:val="000000"/>
          <w:sz w:val="21"/>
          <w:lang w:eastAsia="zh-CN"/>
        </w:rPr>
        <w:t>→</w:t>
      </w:r>
      <w:r>
        <w:rPr>
          <w:color w:val="000000"/>
          <w:sz w:val="21"/>
          <w:lang w:eastAsia="zh-CN"/>
        </w:rPr>
        <w:t>3'外切</w:t>
      </w:r>
      <w:r>
        <w:rPr>
          <w:rFonts w:hint="eastAsia"/>
          <w:color w:val="000000"/>
          <w:sz w:val="21"/>
          <w:lang w:eastAsia="zh-CN"/>
        </w:rPr>
        <w:t>酶</w:t>
      </w:r>
      <w:r>
        <w:rPr>
          <w:color w:val="000000"/>
          <w:sz w:val="21"/>
          <w:lang w:eastAsia="zh-CN"/>
        </w:rPr>
        <w:t>活性将探针</w:t>
      </w:r>
      <w:r>
        <w:rPr>
          <w:rFonts w:hint="eastAsia"/>
          <w:color w:val="000000"/>
          <w:sz w:val="21"/>
          <w:lang w:eastAsia="zh-CN"/>
        </w:rPr>
        <w:t>酶切</w:t>
      </w:r>
      <w:r>
        <w:rPr>
          <w:color w:val="000000"/>
          <w:sz w:val="21"/>
          <w:lang w:eastAsia="zh-CN"/>
        </w:rPr>
        <w:t>降解</w:t>
      </w:r>
      <w:r>
        <w:rPr>
          <w:rFonts w:hint="eastAsia"/>
          <w:color w:val="000000"/>
          <w:sz w:val="21"/>
          <w:lang w:eastAsia="zh-CN"/>
        </w:rPr>
        <w:t>，</w:t>
      </w:r>
      <w:r>
        <w:rPr>
          <w:color w:val="000000"/>
          <w:sz w:val="21"/>
          <w:lang w:eastAsia="zh-CN"/>
        </w:rPr>
        <w:t>使报告荧光基团和淬灭荧光</w:t>
      </w:r>
      <w:r>
        <w:rPr>
          <w:rFonts w:hint="eastAsia"/>
          <w:color w:val="000000"/>
          <w:sz w:val="21"/>
          <w:lang w:eastAsia="zh-CN"/>
        </w:rPr>
        <w:t>基团</w:t>
      </w:r>
      <w:r>
        <w:rPr>
          <w:color w:val="000000"/>
          <w:sz w:val="21"/>
          <w:lang w:eastAsia="zh-CN"/>
        </w:rPr>
        <w:t>分离</w:t>
      </w:r>
      <w:r>
        <w:rPr>
          <w:rFonts w:hint="eastAsia"/>
          <w:color w:val="000000"/>
          <w:sz w:val="21"/>
          <w:lang w:eastAsia="zh-CN"/>
        </w:rPr>
        <w:t>，</w:t>
      </w:r>
      <w:r>
        <w:rPr>
          <w:color w:val="000000"/>
          <w:sz w:val="21"/>
          <w:lang w:eastAsia="zh-CN"/>
        </w:rPr>
        <w:t>从而</w:t>
      </w:r>
      <w:r>
        <w:rPr>
          <w:rFonts w:hint="eastAsia"/>
          <w:color w:val="000000"/>
          <w:sz w:val="21"/>
          <w:lang w:eastAsia="zh-CN"/>
        </w:rPr>
        <w:t>使</w:t>
      </w:r>
      <w:r>
        <w:rPr>
          <w:color w:val="000000"/>
          <w:sz w:val="21"/>
          <w:lang w:eastAsia="zh-CN"/>
        </w:rPr>
        <w:t>荧光监测系统可接收到荧光信号</w:t>
      </w:r>
      <w:r>
        <w:rPr>
          <w:rFonts w:hint="eastAsia"/>
          <w:color w:val="000000"/>
          <w:sz w:val="21"/>
          <w:lang w:eastAsia="zh-CN"/>
        </w:rPr>
        <w:t>，</w:t>
      </w:r>
      <w:r>
        <w:rPr>
          <w:color w:val="000000"/>
          <w:sz w:val="21"/>
          <w:lang w:eastAsia="zh-CN"/>
        </w:rPr>
        <w:t>实现荧光信号的累积与PCR产物形成完全同步。</w:t>
      </w:r>
    </w:p>
    <w:p w14:paraId="2E5C3773">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3.3</w:t>
      </w:r>
    </w:p>
    <w:p w14:paraId="5E484C1B">
      <w:pPr>
        <w:spacing w:line="360" w:lineRule="auto"/>
        <w:ind w:firstLine="420" w:firstLineChars="200"/>
        <w:rPr>
          <w:rFonts w:ascii="黑体" w:hAnsi="黑体" w:eastAsia="黑体" w:cs="黑体"/>
          <w:color w:val="000000"/>
          <w:sz w:val="21"/>
          <w:lang w:eastAsia="zh-CN"/>
        </w:rPr>
      </w:pPr>
      <w:r>
        <w:rPr>
          <w:rFonts w:ascii="黑体" w:hAnsi="黑体" w:eastAsia="黑体" w:cs="黑体"/>
          <w:color w:val="000000"/>
          <w:sz w:val="21"/>
          <w:lang w:eastAsia="zh-CN"/>
        </w:rPr>
        <w:t xml:space="preserve">Ct </w:t>
      </w:r>
      <w:r>
        <w:rPr>
          <w:rFonts w:hint="eastAsia" w:ascii="黑体" w:hAnsi="黑体" w:eastAsia="黑体" w:cs="黑体"/>
          <w:color w:val="000000"/>
          <w:sz w:val="21"/>
          <w:lang w:eastAsia="zh-CN"/>
        </w:rPr>
        <w:t>值</w:t>
      </w:r>
      <w:r>
        <w:rPr>
          <w:rFonts w:ascii="黑体" w:hAnsi="黑体" w:eastAsia="黑体" w:cs="黑体"/>
          <w:color w:val="000000"/>
          <w:sz w:val="21"/>
          <w:lang w:eastAsia="zh-CN"/>
        </w:rPr>
        <w:t xml:space="preserve"> cycle threshold value</w:t>
      </w:r>
    </w:p>
    <w:p w14:paraId="7640AECB">
      <w:pPr>
        <w:spacing w:line="360" w:lineRule="auto"/>
        <w:ind w:firstLine="480"/>
        <w:rPr>
          <w:color w:val="000000"/>
          <w:sz w:val="21"/>
          <w:lang w:eastAsia="zh-CN"/>
        </w:rPr>
      </w:pPr>
      <w:r>
        <w:rPr>
          <w:color w:val="000000"/>
          <w:sz w:val="21"/>
          <w:lang w:eastAsia="zh-CN"/>
        </w:rPr>
        <w:t>从基线到指数增长的拐点所对应的PCR反应循环次数。</w:t>
      </w:r>
    </w:p>
    <w:p w14:paraId="2CBAC2CE">
      <w:pPr>
        <w:spacing w:line="360" w:lineRule="auto"/>
        <w:ind w:firstLine="480"/>
        <w:rPr>
          <w:color w:val="000000"/>
          <w:sz w:val="21"/>
          <w:lang w:eastAsia="zh-CN"/>
        </w:rPr>
      </w:pPr>
    </w:p>
    <w:p w14:paraId="7E238CAF">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4  缩略语</w:t>
      </w:r>
    </w:p>
    <w:p w14:paraId="03B67713">
      <w:pPr>
        <w:spacing w:line="360" w:lineRule="auto"/>
        <w:rPr>
          <w:color w:val="000000"/>
          <w:sz w:val="21"/>
          <w:lang w:eastAsia="zh-CN"/>
        </w:rPr>
      </w:pPr>
      <w:r>
        <w:rPr>
          <w:color w:val="000000"/>
          <w:sz w:val="21"/>
          <w:lang w:eastAsia="zh-CN"/>
        </w:rPr>
        <w:t>下列缩略语适用于本标准。</w:t>
      </w:r>
    </w:p>
    <w:p w14:paraId="2A6E80A3">
      <w:pPr>
        <w:spacing w:line="360" w:lineRule="auto"/>
        <w:rPr>
          <w:color w:val="000000"/>
          <w:sz w:val="21"/>
          <w:lang w:eastAsia="zh-CN"/>
        </w:rPr>
      </w:pPr>
      <w:r>
        <w:rPr>
          <w:color w:val="000000"/>
          <w:sz w:val="21"/>
          <w:lang w:eastAsia="zh-CN"/>
        </w:rPr>
        <w:t>RNA ：核糖核酸(ribonucleic acid)</w:t>
      </w:r>
    </w:p>
    <w:p w14:paraId="0602B6C3">
      <w:pPr>
        <w:spacing w:line="360" w:lineRule="auto"/>
        <w:rPr>
          <w:color w:val="000000"/>
          <w:sz w:val="21"/>
          <w:lang w:eastAsia="zh-CN"/>
        </w:rPr>
      </w:pPr>
      <w:r>
        <w:rPr>
          <w:color w:val="000000"/>
          <w:sz w:val="21"/>
          <w:lang w:eastAsia="zh-CN"/>
        </w:rPr>
        <w:t>RT-PCR：逆转录聚合醐链式反应(reverse transcription polymerase chain reaction)</w:t>
      </w:r>
    </w:p>
    <w:p w14:paraId="6F3E764B">
      <w:pPr>
        <w:spacing w:line="360" w:lineRule="auto"/>
        <w:rPr>
          <w:color w:val="000000"/>
          <w:sz w:val="21"/>
          <w:lang w:eastAsia="zh-CN"/>
        </w:rPr>
      </w:pPr>
      <w:r>
        <w:rPr>
          <w:color w:val="000000"/>
          <w:sz w:val="21"/>
          <w:lang w:eastAsia="zh-CN"/>
        </w:rPr>
        <w:t>MRV 小鼠轮状病毒病毒 Murine rotavirus</w:t>
      </w:r>
    </w:p>
    <w:p w14:paraId="51062299">
      <w:pPr>
        <w:spacing w:line="360" w:lineRule="auto"/>
        <w:rPr>
          <w:color w:val="000000"/>
          <w:sz w:val="21"/>
          <w:lang w:eastAsia="zh-CN"/>
        </w:rPr>
      </w:pPr>
      <w:r>
        <w:rPr>
          <w:color w:val="000000"/>
          <w:sz w:val="21"/>
          <w:lang w:eastAsia="zh-CN"/>
        </w:rPr>
        <w:t>FAM：6-羧基荧光素(6-carboxy fluorescein)</w:t>
      </w:r>
    </w:p>
    <w:p w14:paraId="26610A39">
      <w:pPr>
        <w:spacing w:line="360" w:lineRule="auto"/>
        <w:rPr>
          <w:color w:val="000000"/>
          <w:sz w:val="21"/>
          <w:lang w:eastAsia="zh-CN"/>
        </w:rPr>
      </w:pPr>
      <w:r>
        <w:rPr>
          <w:color w:val="000000"/>
          <w:sz w:val="21"/>
          <w:lang w:eastAsia="zh-CN"/>
        </w:rPr>
        <w:t>MGB：小沟结合位点 (Minor Groove Binder)</w:t>
      </w:r>
    </w:p>
    <w:p w14:paraId="7CF624A1">
      <w:pPr>
        <w:spacing w:line="360" w:lineRule="auto"/>
        <w:rPr>
          <w:color w:val="000000"/>
          <w:sz w:val="21"/>
          <w:lang w:eastAsia="zh-CN"/>
        </w:rPr>
      </w:pPr>
      <w:r>
        <w:rPr>
          <w:color w:val="000000"/>
          <w:sz w:val="21"/>
          <w:lang w:eastAsia="zh-CN"/>
        </w:rPr>
        <w:t>PBS 磷酸盐缓冲液 phosphate buffered saline</w:t>
      </w:r>
    </w:p>
    <w:p w14:paraId="313B81B1">
      <w:pPr>
        <w:keepNext w:val="0"/>
        <w:keepLines w:val="0"/>
        <w:pageBreakBefore w:val="0"/>
        <w:widowControl/>
        <w:kinsoku/>
        <w:wordWrap/>
        <w:overflowPunct/>
        <w:topLinePunct w:val="0"/>
        <w:autoSpaceDE/>
        <w:autoSpaceDN/>
        <w:bidi w:val="0"/>
        <w:spacing w:line="360" w:lineRule="auto"/>
        <w:textAlignment w:val="auto"/>
        <w:rPr>
          <w:rFonts w:ascii="黑体" w:hAnsi="黑体" w:eastAsia="黑体" w:cs="黑体"/>
          <w:color w:val="000000"/>
          <w:sz w:val="21"/>
          <w:lang w:eastAsia="zh-CN"/>
        </w:rPr>
      </w:pPr>
      <w:r>
        <w:rPr>
          <w:rFonts w:hint="eastAsia" w:ascii="黑体" w:hAnsi="黑体" w:eastAsia="黑体" w:cs="黑体"/>
          <w:color w:val="000000"/>
          <w:sz w:val="21"/>
          <w:lang w:eastAsia="zh-CN"/>
        </w:rPr>
        <w:t>5</w:t>
      </w:r>
      <w:r>
        <w:rPr>
          <w:rFonts w:hint="eastAsia" w:ascii="黑体" w:hAnsi="黑体" w:eastAsia="黑体" w:cs="黑体"/>
          <w:color w:val="000000"/>
          <w:sz w:val="21"/>
          <w:lang w:val="en-US" w:eastAsia="zh-CN"/>
        </w:rPr>
        <w:t xml:space="preserve">  </w:t>
      </w:r>
      <w:r>
        <w:rPr>
          <w:rFonts w:ascii="黑体" w:hAnsi="黑体" w:eastAsia="黑体" w:cs="黑体"/>
          <w:color w:val="000000"/>
          <w:sz w:val="21"/>
          <w:lang w:eastAsia="zh-CN"/>
        </w:rPr>
        <w:t>主要设备和材料</w:t>
      </w:r>
    </w:p>
    <w:p w14:paraId="3CA53278">
      <w:pPr>
        <w:keepNext w:val="0"/>
        <w:keepLines w:val="0"/>
        <w:pageBreakBefore w:val="0"/>
        <w:widowControl/>
        <w:kinsoku/>
        <w:wordWrap/>
        <w:overflowPunct/>
        <w:topLinePunct w:val="0"/>
        <w:autoSpaceDE/>
        <w:autoSpaceDN/>
        <w:bidi w:val="0"/>
        <w:adjustRightInd w:val="0"/>
        <w:snapToGrid w:val="0"/>
        <w:spacing w:line="360" w:lineRule="auto"/>
        <w:textAlignment w:val="auto"/>
        <w:rPr>
          <w:color w:val="000000"/>
          <w:sz w:val="21"/>
          <w:lang w:eastAsia="zh-CN"/>
        </w:rPr>
      </w:pPr>
      <w:r>
        <w:rPr>
          <w:rFonts w:hint="eastAsia" w:ascii="黑体" w:hAnsi="黑体" w:eastAsia="黑体" w:cs="黑体"/>
          <w:color w:val="000000"/>
          <w:sz w:val="21"/>
          <w:lang w:eastAsia="zh-CN"/>
        </w:rPr>
        <w:t>5.1</w:t>
      </w:r>
      <w:r>
        <w:rPr>
          <w:rFonts w:hint="eastAsia"/>
          <w:color w:val="000000"/>
          <w:sz w:val="21"/>
          <w:lang w:val="en-US" w:eastAsia="zh-CN"/>
        </w:rPr>
        <w:t xml:space="preserve"> </w:t>
      </w:r>
      <w:r>
        <w:rPr>
          <w:color w:val="000000"/>
          <w:sz w:val="21"/>
          <w:lang w:eastAsia="zh-CN"/>
        </w:rPr>
        <w:t>实时荧光PCR仪。</w:t>
      </w:r>
    </w:p>
    <w:p w14:paraId="482395E0">
      <w:pPr>
        <w:keepNext w:val="0"/>
        <w:keepLines w:val="0"/>
        <w:pageBreakBefore w:val="0"/>
        <w:widowControl/>
        <w:kinsoku/>
        <w:wordWrap/>
        <w:overflowPunct/>
        <w:topLinePunct w:val="0"/>
        <w:autoSpaceDE/>
        <w:autoSpaceDN/>
        <w:bidi w:val="0"/>
        <w:adjustRightInd w:val="0"/>
        <w:snapToGrid w:val="0"/>
        <w:spacing w:line="360" w:lineRule="auto"/>
        <w:textAlignment w:val="auto"/>
        <w:rPr>
          <w:color w:val="000000"/>
          <w:sz w:val="21"/>
          <w:lang w:eastAsia="zh-CN"/>
        </w:rPr>
      </w:pPr>
      <w:r>
        <w:rPr>
          <w:rFonts w:hint="eastAsia" w:ascii="黑体" w:hAnsi="黑体" w:eastAsia="黑体" w:cs="黑体"/>
          <w:color w:val="000000"/>
          <w:sz w:val="21"/>
          <w:lang w:eastAsia="zh-CN"/>
        </w:rPr>
        <w:t>5.2</w:t>
      </w:r>
      <w:r>
        <w:rPr>
          <w:color w:val="000000"/>
          <w:sz w:val="21"/>
          <w:lang w:eastAsia="zh-CN"/>
        </w:rPr>
        <w:t xml:space="preserve"> PCR 仪。</w:t>
      </w:r>
    </w:p>
    <w:p w14:paraId="3937DB96">
      <w:pPr>
        <w:keepNext w:val="0"/>
        <w:keepLines w:val="0"/>
        <w:pageBreakBefore w:val="0"/>
        <w:widowControl/>
        <w:kinsoku/>
        <w:wordWrap/>
        <w:overflowPunct/>
        <w:topLinePunct w:val="0"/>
        <w:autoSpaceDE/>
        <w:autoSpaceDN/>
        <w:bidi w:val="0"/>
        <w:adjustRightInd w:val="0"/>
        <w:snapToGrid w:val="0"/>
        <w:spacing w:line="360" w:lineRule="auto"/>
        <w:textAlignment w:val="auto"/>
        <w:rPr>
          <w:color w:val="000000"/>
          <w:sz w:val="21"/>
          <w:lang w:eastAsia="zh-CN"/>
        </w:rPr>
      </w:pPr>
      <w:r>
        <w:rPr>
          <w:rFonts w:hint="eastAsia" w:ascii="黑体" w:hAnsi="黑体" w:eastAsia="黑体" w:cs="黑体"/>
          <w:color w:val="000000"/>
          <w:sz w:val="21"/>
          <w:lang w:eastAsia="zh-CN"/>
        </w:rPr>
        <w:t>5.3</w:t>
      </w:r>
      <w:r>
        <w:rPr>
          <w:color w:val="000000"/>
          <w:sz w:val="21"/>
          <w:lang w:eastAsia="zh-CN"/>
        </w:rPr>
        <w:t xml:space="preserve"> 台式离心机。</w:t>
      </w:r>
    </w:p>
    <w:p w14:paraId="70DF8270">
      <w:pPr>
        <w:keepNext w:val="0"/>
        <w:keepLines w:val="0"/>
        <w:pageBreakBefore w:val="0"/>
        <w:widowControl/>
        <w:kinsoku/>
        <w:wordWrap/>
        <w:overflowPunct/>
        <w:topLinePunct w:val="0"/>
        <w:autoSpaceDE/>
        <w:autoSpaceDN/>
        <w:bidi w:val="0"/>
        <w:adjustRightInd w:val="0"/>
        <w:snapToGrid w:val="0"/>
        <w:spacing w:line="360" w:lineRule="auto"/>
        <w:textAlignment w:val="auto"/>
        <w:rPr>
          <w:color w:val="000000"/>
          <w:sz w:val="21"/>
          <w:lang w:eastAsia="zh-CN"/>
        </w:rPr>
      </w:pPr>
      <w:r>
        <w:rPr>
          <w:rFonts w:hint="eastAsia" w:ascii="黑体" w:hAnsi="黑体" w:eastAsia="黑体" w:cs="黑体"/>
          <w:color w:val="000000"/>
          <w:sz w:val="21"/>
          <w:lang w:eastAsia="zh-CN"/>
        </w:rPr>
        <w:t>5.4</w:t>
      </w:r>
      <w:r>
        <w:rPr>
          <w:color w:val="000000"/>
          <w:sz w:val="21"/>
          <w:lang w:eastAsia="zh-CN"/>
        </w:rPr>
        <w:t xml:space="preserve"> 涡旋振荡器。</w:t>
      </w:r>
    </w:p>
    <w:p w14:paraId="38484CEB">
      <w:pPr>
        <w:keepNext w:val="0"/>
        <w:keepLines w:val="0"/>
        <w:pageBreakBefore w:val="0"/>
        <w:widowControl/>
        <w:kinsoku/>
        <w:wordWrap/>
        <w:overflowPunct/>
        <w:topLinePunct w:val="0"/>
        <w:autoSpaceDE/>
        <w:autoSpaceDN/>
        <w:bidi w:val="0"/>
        <w:adjustRightInd w:val="0"/>
        <w:snapToGrid w:val="0"/>
        <w:spacing w:line="360" w:lineRule="auto"/>
        <w:textAlignment w:val="auto"/>
        <w:rPr>
          <w:color w:val="000000"/>
          <w:sz w:val="21"/>
          <w:lang w:eastAsia="zh-CN"/>
        </w:rPr>
      </w:pPr>
      <w:r>
        <w:rPr>
          <w:rFonts w:hint="eastAsia" w:ascii="黑体" w:hAnsi="黑体" w:eastAsia="黑体" w:cs="黑体"/>
          <w:color w:val="000000"/>
          <w:sz w:val="21"/>
          <w:lang w:eastAsia="zh-CN"/>
        </w:rPr>
        <w:t>5.5</w:t>
      </w:r>
      <w:r>
        <w:rPr>
          <w:rFonts w:hint="eastAsia" w:ascii="黑体" w:hAnsi="黑体" w:eastAsia="黑体" w:cs="黑体"/>
          <w:color w:val="000000"/>
          <w:sz w:val="21"/>
          <w:lang w:val="en-US" w:eastAsia="zh-CN"/>
        </w:rPr>
        <w:t xml:space="preserve"> </w:t>
      </w:r>
      <w:r>
        <w:rPr>
          <w:color w:val="000000"/>
          <w:sz w:val="21"/>
          <w:lang w:eastAsia="zh-CN"/>
        </w:rPr>
        <w:t>组织匀浆器或手持式均质器。</w:t>
      </w:r>
    </w:p>
    <w:p w14:paraId="2BA24732">
      <w:pPr>
        <w:keepNext w:val="0"/>
        <w:keepLines w:val="0"/>
        <w:pageBreakBefore w:val="0"/>
        <w:widowControl/>
        <w:kinsoku/>
        <w:wordWrap/>
        <w:overflowPunct/>
        <w:topLinePunct w:val="0"/>
        <w:autoSpaceDE/>
        <w:autoSpaceDN/>
        <w:bidi w:val="0"/>
        <w:adjustRightInd w:val="0"/>
        <w:snapToGrid w:val="0"/>
        <w:spacing w:line="360" w:lineRule="auto"/>
        <w:textAlignment w:val="auto"/>
        <w:rPr>
          <w:color w:val="000000"/>
          <w:sz w:val="21"/>
          <w:lang w:eastAsia="zh-CN"/>
        </w:rPr>
      </w:pPr>
      <w:r>
        <w:rPr>
          <w:rFonts w:hint="eastAsia" w:ascii="黑体" w:hAnsi="黑体" w:eastAsia="黑体" w:cs="黑体"/>
          <w:color w:val="000000"/>
          <w:sz w:val="21"/>
          <w:lang w:eastAsia="zh-CN"/>
        </w:rPr>
        <w:t>5.6</w:t>
      </w:r>
      <w:r>
        <w:rPr>
          <w:rFonts w:hint="eastAsia" w:ascii="黑体" w:hAnsi="黑体" w:eastAsia="黑体" w:cs="黑体"/>
          <w:color w:val="000000"/>
          <w:sz w:val="21"/>
          <w:lang w:val="en-US" w:eastAsia="zh-CN"/>
        </w:rPr>
        <w:t xml:space="preserve"> </w:t>
      </w:r>
      <w:r>
        <w:rPr>
          <w:color w:val="000000"/>
          <w:sz w:val="21"/>
          <w:lang w:eastAsia="zh-CN"/>
        </w:rPr>
        <w:t>生物安全柜。</w:t>
      </w:r>
    </w:p>
    <w:p w14:paraId="29997DAB">
      <w:pPr>
        <w:keepNext w:val="0"/>
        <w:keepLines w:val="0"/>
        <w:pageBreakBefore w:val="0"/>
        <w:widowControl/>
        <w:kinsoku/>
        <w:wordWrap/>
        <w:overflowPunct/>
        <w:topLinePunct w:val="0"/>
        <w:autoSpaceDE/>
        <w:autoSpaceDN/>
        <w:bidi w:val="0"/>
        <w:adjustRightInd w:val="0"/>
        <w:snapToGrid w:val="0"/>
        <w:spacing w:line="360" w:lineRule="auto"/>
        <w:textAlignment w:val="auto"/>
        <w:rPr>
          <w:color w:val="000000"/>
          <w:sz w:val="21"/>
          <w:lang w:eastAsia="zh-CN"/>
        </w:rPr>
      </w:pPr>
      <w:r>
        <w:rPr>
          <w:rFonts w:hint="eastAsia" w:ascii="黑体" w:hAnsi="黑体" w:eastAsia="黑体" w:cs="黑体"/>
          <w:color w:val="000000"/>
          <w:sz w:val="21"/>
          <w:lang w:eastAsia="zh-CN"/>
        </w:rPr>
        <w:t>5.7</w:t>
      </w:r>
      <w:r>
        <w:rPr>
          <w:color w:val="000000"/>
          <w:sz w:val="21"/>
          <w:lang w:eastAsia="zh-CN"/>
        </w:rPr>
        <w:t xml:space="preserve"> PCR工作台。</w:t>
      </w:r>
    </w:p>
    <w:p w14:paraId="41A9C2C8">
      <w:pPr>
        <w:keepNext w:val="0"/>
        <w:keepLines w:val="0"/>
        <w:pageBreakBefore w:val="0"/>
        <w:widowControl/>
        <w:kinsoku/>
        <w:wordWrap/>
        <w:overflowPunct/>
        <w:topLinePunct w:val="0"/>
        <w:autoSpaceDE/>
        <w:autoSpaceDN/>
        <w:bidi w:val="0"/>
        <w:adjustRightInd w:val="0"/>
        <w:snapToGrid w:val="0"/>
        <w:spacing w:line="360" w:lineRule="auto"/>
        <w:textAlignment w:val="auto"/>
        <w:rPr>
          <w:color w:val="000000"/>
          <w:sz w:val="21"/>
          <w:lang w:eastAsia="zh-CN"/>
        </w:rPr>
      </w:pPr>
      <w:r>
        <w:rPr>
          <w:rFonts w:hint="eastAsia" w:ascii="黑体" w:hAnsi="黑体" w:eastAsia="黑体" w:cs="黑体"/>
          <w:color w:val="000000"/>
          <w:sz w:val="21"/>
          <w:lang w:eastAsia="zh-CN"/>
        </w:rPr>
        <w:t>5.8</w:t>
      </w:r>
      <w:r>
        <w:rPr>
          <w:color w:val="000000"/>
          <w:sz w:val="21"/>
          <w:lang w:eastAsia="zh-CN"/>
        </w:rPr>
        <w:t xml:space="preserve"> </w:t>
      </w:r>
      <w:r>
        <w:rPr>
          <w:rFonts w:hint="eastAsia"/>
          <w:color w:val="000000"/>
          <w:sz w:val="21"/>
          <w:lang w:val="en-US" w:eastAsia="zh-CN"/>
        </w:rPr>
        <w:t xml:space="preserve"> </w:t>
      </w:r>
      <w:r>
        <w:rPr>
          <w:color w:val="000000"/>
          <w:sz w:val="21"/>
          <w:lang w:eastAsia="zh-CN"/>
        </w:rPr>
        <w:t>-80℃冰箱，-20℃冰箱，2</w:t>
      </w:r>
      <w:r>
        <w:rPr>
          <w:rFonts w:eastAsia="微软雅黑"/>
          <w:color w:val="000000"/>
          <w:sz w:val="21"/>
          <w:lang w:eastAsia="zh-CN"/>
        </w:rPr>
        <w:t>〜</w:t>
      </w:r>
      <w:r>
        <w:rPr>
          <w:color w:val="000000"/>
          <w:sz w:val="21"/>
          <w:lang w:eastAsia="zh-CN"/>
        </w:rPr>
        <w:t>8℃冰箱。</w:t>
      </w:r>
    </w:p>
    <w:p w14:paraId="2F8795B3">
      <w:pPr>
        <w:adjustRightInd w:val="0"/>
        <w:snapToGrid w:val="0"/>
        <w:spacing w:line="360" w:lineRule="auto"/>
        <w:rPr>
          <w:color w:val="000000"/>
          <w:sz w:val="21"/>
          <w:lang w:eastAsia="zh-CN"/>
        </w:rPr>
      </w:pPr>
      <w:r>
        <w:rPr>
          <w:rFonts w:hint="eastAsia" w:ascii="黑体" w:hAnsi="黑体" w:eastAsia="黑体" w:cs="黑体"/>
          <w:color w:val="000000"/>
          <w:sz w:val="21"/>
          <w:lang w:eastAsia="zh-CN"/>
        </w:rPr>
        <w:t>5.</w:t>
      </w:r>
      <w:r>
        <w:rPr>
          <w:rFonts w:hint="eastAsia" w:ascii="黑体" w:hAnsi="黑体" w:eastAsia="黑体" w:cs="黑体"/>
          <w:color w:val="000000"/>
          <w:sz w:val="21"/>
          <w:lang w:val="en-US" w:eastAsia="zh-CN"/>
        </w:rPr>
        <w:t xml:space="preserve">9 </w:t>
      </w:r>
      <w:r>
        <w:rPr>
          <w:color w:val="000000"/>
          <w:sz w:val="21"/>
          <w:lang w:eastAsia="zh-CN"/>
        </w:rPr>
        <w:t>微量可调移液器：10µL、20µL 、100µL 、200µL 、1000µL。</w:t>
      </w:r>
    </w:p>
    <w:p w14:paraId="2BD7B463">
      <w:pPr>
        <w:adjustRightInd w:val="0"/>
        <w:snapToGrid w:val="0"/>
        <w:spacing w:line="360" w:lineRule="auto"/>
        <w:rPr>
          <w:color w:val="000000"/>
          <w:sz w:val="21"/>
          <w:lang w:eastAsia="zh-CN"/>
        </w:rPr>
      </w:pPr>
      <w:r>
        <w:rPr>
          <w:rFonts w:hint="eastAsia" w:ascii="黑体" w:hAnsi="黑体" w:eastAsia="黑体" w:cs="黑体"/>
          <w:color w:val="000000"/>
          <w:sz w:val="21"/>
          <w:lang w:eastAsia="zh-CN"/>
        </w:rPr>
        <w:t>5.10</w:t>
      </w:r>
      <w:r>
        <w:rPr>
          <w:rFonts w:hint="eastAsia" w:ascii="黑体" w:hAnsi="黑体" w:eastAsia="黑体" w:cs="黑体"/>
          <w:color w:val="000000"/>
          <w:sz w:val="21"/>
          <w:lang w:val="en-US" w:eastAsia="zh-CN"/>
        </w:rPr>
        <w:t xml:space="preserve"> </w:t>
      </w:r>
      <w:r>
        <w:rPr>
          <w:color w:val="000000"/>
          <w:sz w:val="21"/>
          <w:lang w:eastAsia="zh-CN"/>
        </w:rPr>
        <w:t>无RNase和DNase 污染的离心管(1.5 mL，2 mL), 无RNase和DNase污染的吸头及PCR 扩增反应管。</w:t>
      </w:r>
    </w:p>
    <w:p w14:paraId="6FC0A757">
      <w:pPr>
        <w:adjustRightInd w:val="0"/>
        <w:snapToGrid w:val="0"/>
        <w:spacing w:line="360" w:lineRule="auto"/>
        <w:rPr>
          <w:color w:val="000000"/>
          <w:sz w:val="21"/>
          <w:lang w:eastAsia="zh-CN"/>
        </w:rPr>
      </w:pPr>
      <w:r>
        <w:rPr>
          <w:rFonts w:hint="eastAsia" w:ascii="黑体" w:hAnsi="黑体" w:eastAsia="黑体" w:cs="黑体"/>
          <w:color w:val="000000"/>
          <w:sz w:val="21"/>
          <w:lang w:eastAsia="zh-CN"/>
        </w:rPr>
        <w:t>5.11</w:t>
      </w:r>
      <w:r>
        <w:rPr>
          <w:rFonts w:hint="eastAsia"/>
          <w:color w:val="000000"/>
          <w:sz w:val="21"/>
          <w:lang w:val="en-US" w:eastAsia="zh-CN"/>
        </w:rPr>
        <w:t xml:space="preserve"> </w:t>
      </w:r>
      <w:r>
        <w:rPr>
          <w:color w:val="000000"/>
          <w:sz w:val="21"/>
          <w:lang w:eastAsia="zh-CN"/>
        </w:rPr>
        <w:t>采样工具：棉拭子、剪刀、镊子等。</w:t>
      </w:r>
    </w:p>
    <w:p w14:paraId="1DD250AA">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6</w:t>
      </w:r>
      <w:r>
        <w:rPr>
          <w:rFonts w:hint="eastAsia" w:ascii="黑体" w:hAnsi="黑体" w:eastAsia="黑体" w:cs="黑体"/>
          <w:color w:val="000000"/>
          <w:sz w:val="21"/>
          <w:lang w:val="en-US" w:eastAsia="zh-CN"/>
        </w:rPr>
        <w:t xml:space="preserve">  </w:t>
      </w:r>
      <w:r>
        <w:rPr>
          <w:rFonts w:ascii="黑体" w:hAnsi="黑体" w:eastAsia="黑体" w:cs="黑体"/>
          <w:color w:val="000000"/>
          <w:sz w:val="21"/>
          <w:lang w:eastAsia="zh-CN"/>
        </w:rPr>
        <w:t>试剂</w:t>
      </w:r>
    </w:p>
    <w:p w14:paraId="46B4003F">
      <w:pPr>
        <w:spacing w:line="360" w:lineRule="auto"/>
        <w:rPr>
          <w:color w:val="000000"/>
          <w:sz w:val="21"/>
          <w:lang w:eastAsia="zh-CN"/>
        </w:rPr>
      </w:pPr>
      <w:r>
        <w:rPr>
          <w:rFonts w:hint="eastAsia" w:ascii="黑体" w:hAnsi="黑体" w:eastAsia="黑体" w:cs="黑体"/>
          <w:color w:val="000000"/>
          <w:sz w:val="21"/>
          <w:lang w:eastAsia="zh-CN"/>
        </w:rPr>
        <w:t>6.1</w:t>
      </w:r>
      <w:r>
        <w:rPr>
          <w:color w:val="000000"/>
          <w:sz w:val="21"/>
          <w:lang w:eastAsia="zh-CN"/>
        </w:rPr>
        <w:t xml:space="preserve"> 抽提试剂:基因组RNA提取试剂盒RNeasy Blood &amp; Tissue Kit或其他等效产品。</w:t>
      </w:r>
    </w:p>
    <w:p w14:paraId="0AB644BC">
      <w:pPr>
        <w:spacing w:line="360" w:lineRule="auto"/>
        <w:rPr>
          <w:color w:val="000000"/>
          <w:sz w:val="21"/>
          <w:lang w:eastAsia="zh-CN"/>
        </w:rPr>
      </w:pPr>
      <w:r>
        <w:rPr>
          <w:rFonts w:hint="eastAsia" w:ascii="黑体" w:hAnsi="黑体" w:eastAsia="黑体" w:cs="黑体"/>
          <w:color w:val="000000"/>
          <w:sz w:val="21"/>
          <w:lang w:eastAsia="zh-CN"/>
        </w:rPr>
        <w:t>6.2</w:t>
      </w:r>
      <w:r>
        <w:rPr>
          <w:rFonts w:hint="eastAsia" w:ascii="黑体" w:hAnsi="黑体" w:eastAsia="黑体" w:cs="黑体"/>
          <w:color w:val="000000"/>
          <w:sz w:val="21"/>
          <w:lang w:val="en-US" w:eastAsia="zh-CN"/>
        </w:rPr>
        <w:t xml:space="preserve"> </w:t>
      </w:r>
      <w:r>
        <w:rPr>
          <w:color w:val="000000"/>
          <w:sz w:val="21"/>
          <w:lang w:eastAsia="zh-CN"/>
        </w:rPr>
        <w:t>无水乙醇。</w:t>
      </w:r>
    </w:p>
    <w:p w14:paraId="01BF34F5">
      <w:pPr>
        <w:spacing w:line="360" w:lineRule="auto"/>
        <w:rPr>
          <w:color w:val="000000"/>
          <w:sz w:val="21"/>
          <w:lang w:eastAsia="zh-CN"/>
        </w:rPr>
      </w:pPr>
      <w:r>
        <w:rPr>
          <w:rFonts w:hint="eastAsia" w:ascii="黑体" w:hAnsi="黑体" w:eastAsia="黑体" w:cs="黑体"/>
          <w:color w:val="000000"/>
          <w:sz w:val="21"/>
          <w:lang w:eastAsia="zh-CN"/>
        </w:rPr>
        <w:t>6.3</w:t>
      </w:r>
      <w:r>
        <w:rPr>
          <w:rFonts w:hint="eastAsia" w:ascii="黑体" w:hAnsi="黑体" w:eastAsia="黑体" w:cs="黑体"/>
          <w:color w:val="000000"/>
          <w:sz w:val="21"/>
          <w:lang w:val="en-US" w:eastAsia="zh-CN"/>
        </w:rPr>
        <w:t xml:space="preserve"> </w:t>
      </w:r>
      <w:r>
        <w:rPr>
          <w:color w:val="000000"/>
          <w:sz w:val="21"/>
          <w:lang w:eastAsia="zh-CN"/>
        </w:rPr>
        <w:t>逆转录试剂：Thermo RevertAid First Strand cDNA Synthesis Kit或其他等效产品。</w:t>
      </w:r>
    </w:p>
    <w:p w14:paraId="12761726">
      <w:pPr>
        <w:spacing w:line="360" w:lineRule="auto"/>
        <w:rPr>
          <w:color w:val="000000"/>
          <w:sz w:val="21"/>
          <w:lang w:eastAsia="zh-CN"/>
        </w:rPr>
      </w:pPr>
      <w:r>
        <w:rPr>
          <w:rFonts w:hint="eastAsia" w:ascii="黑体" w:hAnsi="黑体" w:eastAsia="黑体" w:cs="黑体"/>
          <w:color w:val="000000"/>
          <w:sz w:val="21"/>
          <w:lang w:eastAsia="zh-CN"/>
        </w:rPr>
        <w:t>6.4</w:t>
      </w:r>
      <w:r>
        <w:rPr>
          <w:rFonts w:hint="eastAsia" w:ascii="黑体" w:hAnsi="黑体" w:eastAsia="黑体" w:cs="黑体"/>
          <w:color w:val="000000"/>
          <w:sz w:val="21"/>
          <w:lang w:val="en-US" w:eastAsia="zh-CN"/>
        </w:rPr>
        <w:t xml:space="preserve"> </w:t>
      </w:r>
      <w:r>
        <w:rPr>
          <w:color w:val="000000"/>
          <w:sz w:val="21"/>
          <w:lang w:eastAsia="zh-CN"/>
        </w:rPr>
        <w:t>实时荧光PCR试剂：GoTaq Probe qPCR Master Mix或其他等效产品。</w:t>
      </w:r>
    </w:p>
    <w:p w14:paraId="026C96A2">
      <w:pPr>
        <w:spacing w:line="360" w:lineRule="auto"/>
        <w:rPr>
          <w:rFonts w:hint="eastAsia"/>
          <w:color w:val="000000"/>
          <w:sz w:val="21"/>
          <w:lang w:eastAsia="zh-CN"/>
        </w:rPr>
      </w:pPr>
      <w:r>
        <w:rPr>
          <w:rFonts w:hint="eastAsia" w:ascii="黑体" w:hAnsi="黑体" w:eastAsia="黑体" w:cs="黑体"/>
          <w:color w:val="000000"/>
          <w:sz w:val="21"/>
          <w:lang w:eastAsia="zh-CN"/>
        </w:rPr>
        <w:t>6.4</w:t>
      </w:r>
      <w:r>
        <w:rPr>
          <w:rFonts w:hint="eastAsia" w:ascii="黑体" w:hAnsi="黑体" w:eastAsia="黑体" w:cs="黑体"/>
          <w:color w:val="000000"/>
          <w:sz w:val="21"/>
          <w:lang w:val="en-US" w:eastAsia="zh-CN"/>
        </w:rPr>
        <w:t xml:space="preserve"> </w:t>
      </w:r>
      <w:r>
        <w:rPr>
          <w:color w:val="000000"/>
          <w:sz w:val="21"/>
          <w:lang w:eastAsia="zh-CN"/>
        </w:rPr>
        <w:t>引物和探针：根据表1的序列合成</w:t>
      </w:r>
      <w:r>
        <w:rPr>
          <w:rFonts w:hint="eastAsia"/>
          <w:color w:val="000000"/>
          <w:sz w:val="21"/>
          <w:lang w:eastAsia="zh-CN"/>
        </w:rPr>
        <w:t>普通PCR引物，根据表2合成</w:t>
      </w:r>
      <w:r>
        <w:rPr>
          <w:color w:val="000000"/>
          <w:sz w:val="21"/>
          <w:lang w:eastAsia="zh-CN"/>
        </w:rPr>
        <w:t>实时荧光PCR引物及探针，引物和探针加无RNase去离子水配制成10µmol/L储备液，-20℃保存。</w:t>
      </w:r>
    </w:p>
    <w:p w14:paraId="69CC7248">
      <w:pPr>
        <w:spacing w:line="360" w:lineRule="auto"/>
        <w:rPr>
          <w:rFonts w:hint="eastAsia"/>
          <w:color w:val="000000"/>
          <w:sz w:val="21"/>
          <w:lang w:eastAsia="zh-CN"/>
        </w:rPr>
      </w:pPr>
    </w:p>
    <w:p w14:paraId="0BF98375">
      <w:pPr>
        <w:spacing w:line="360" w:lineRule="auto"/>
        <w:rPr>
          <w:rFonts w:hint="eastAsia"/>
          <w:color w:val="000000"/>
          <w:sz w:val="21"/>
          <w:lang w:eastAsia="zh-CN"/>
        </w:rPr>
      </w:pPr>
    </w:p>
    <w:p w14:paraId="54351B61">
      <w:pPr>
        <w:spacing w:line="360" w:lineRule="auto"/>
        <w:jc w:val="center"/>
        <w:rPr>
          <w:rFonts w:ascii="黑体" w:hAnsi="黑体" w:cs="黑体"/>
          <w:color w:val="000000"/>
          <w:sz w:val="18"/>
          <w:szCs w:val="18"/>
          <w:lang w:eastAsia="zh-CN"/>
        </w:rPr>
      </w:pPr>
      <w:r>
        <w:rPr>
          <w:rFonts w:hint="eastAsia" w:ascii="宋体" w:hAnsi="宋体" w:cs="宋体"/>
          <w:color w:val="000000"/>
          <w:sz w:val="18"/>
          <w:szCs w:val="18"/>
          <w:lang w:val="zh-CN" w:eastAsia="zh-CN" w:bidi="zh-CN"/>
        </w:rPr>
        <w:t>表</w:t>
      </w:r>
      <w:r>
        <w:rPr>
          <w:rFonts w:hint="eastAsia"/>
          <w:b/>
          <w:bCs/>
          <w:color w:val="000000"/>
          <w:sz w:val="18"/>
          <w:szCs w:val="18"/>
          <w:lang w:val="zh-CN" w:eastAsia="zh-CN" w:bidi="zh-CN"/>
        </w:rPr>
        <w:t>1</w:t>
      </w:r>
      <w:r>
        <w:rPr>
          <w:rFonts w:hint="eastAsia" w:ascii="宋体" w:hAnsi="宋体" w:cs="宋体"/>
          <w:color w:val="000000"/>
          <w:sz w:val="18"/>
          <w:szCs w:val="18"/>
          <w:lang w:val="zh-CN" w:eastAsia="zh-CN" w:bidi="zh-CN"/>
        </w:rPr>
        <w:t>普通</w:t>
      </w:r>
      <w:r>
        <w:rPr>
          <w:rFonts w:ascii="宋体" w:hAnsi="宋体" w:cs="宋体"/>
          <w:color w:val="000000"/>
          <w:sz w:val="18"/>
          <w:szCs w:val="18"/>
          <w:lang w:val="zh-CN" w:eastAsia="zh-CN" w:bidi="zh-CN"/>
        </w:rPr>
        <w:t>PCR</w:t>
      </w:r>
      <w:r>
        <w:rPr>
          <w:rFonts w:hint="eastAsia" w:ascii="宋体" w:hAnsi="宋体" w:cs="宋体"/>
          <w:color w:val="000000"/>
          <w:sz w:val="18"/>
          <w:szCs w:val="18"/>
          <w:lang w:val="zh-CN" w:eastAsia="zh-CN" w:bidi="zh-CN"/>
        </w:rPr>
        <w:t>扩增引物</w:t>
      </w:r>
    </w:p>
    <w:tbl>
      <w:tblPr>
        <w:tblStyle w:val="21"/>
        <w:tblW w:w="0" w:type="auto"/>
        <w:jc w:val="center"/>
        <w:tblLayout w:type="fixed"/>
        <w:tblCellMar>
          <w:top w:w="0" w:type="dxa"/>
          <w:left w:w="10" w:type="dxa"/>
          <w:bottom w:w="0" w:type="dxa"/>
          <w:right w:w="10" w:type="dxa"/>
        </w:tblCellMar>
      </w:tblPr>
      <w:tblGrid>
        <w:gridCol w:w="1297"/>
        <w:gridCol w:w="4536"/>
        <w:gridCol w:w="1386"/>
      </w:tblGrid>
      <w:tr w14:paraId="39190C54">
        <w:tblPrEx>
          <w:tblCellMar>
            <w:top w:w="0" w:type="dxa"/>
            <w:left w:w="10" w:type="dxa"/>
            <w:bottom w:w="0" w:type="dxa"/>
            <w:right w:w="10" w:type="dxa"/>
          </w:tblCellMar>
        </w:tblPrEx>
        <w:trPr>
          <w:trHeight w:val="278" w:hRule="exact"/>
          <w:jc w:val="center"/>
        </w:trPr>
        <w:tc>
          <w:tcPr>
            <w:tcW w:w="1297" w:type="dxa"/>
            <w:tcBorders>
              <w:top w:val="single" w:color="auto" w:sz="4" w:space="0"/>
              <w:left w:val="single" w:color="auto" w:sz="4" w:space="0"/>
              <w:bottom w:val="single" w:color="auto" w:sz="4" w:space="0"/>
              <w:right w:val="single" w:color="auto" w:sz="4" w:space="0"/>
            </w:tcBorders>
            <w:shd w:val="clear" w:color="auto" w:fill="auto"/>
            <w:vAlign w:val="center"/>
          </w:tcPr>
          <w:p w14:paraId="2D2D38DC">
            <w:pPr>
              <w:pStyle w:val="67"/>
              <w:spacing w:line="240" w:lineRule="auto"/>
              <w:ind w:firstLine="320"/>
              <w:rPr>
                <w:rFonts w:ascii="Times New Roman" w:hAnsi="Times New Roman" w:cs="Times New Roman"/>
                <w:sz w:val="15"/>
                <w:szCs w:val="15"/>
              </w:rPr>
            </w:pPr>
            <w:r>
              <w:rPr>
                <w:rFonts w:ascii="Times New Roman" w:hAnsi="Times New Roman" w:cs="Times New Roman"/>
                <w:color w:val="000000"/>
                <w:sz w:val="15"/>
                <w:szCs w:val="15"/>
                <w:lang w:val="zh-CN" w:bidi="zh-CN"/>
              </w:rPr>
              <w:t>引物和探针名</w:t>
            </w:r>
          </w:p>
        </w:tc>
        <w:tc>
          <w:tcPr>
            <w:tcW w:w="4536" w:type="dxa"/>
            <w:tcBorders>
              <w:top w:val="single" w:color="auto" w:sz="4" w:space="0"/>
              <w:left w:val="single" w:color="auto" w:sz="4" w:space="0"/>
              <w:bottom w:val="single" w:color="auto" w:sz="4" w:space="0"/>
              <w:right w:val="single" w:color="auto" w:sz="4" w:space="0"/>
            </w:tcBorders>
            <w:shd w:val="clear" w:color="auto" w:fill="auto"/>
            <w:vAlign w:val="center"/>
          </w:tcPr>
          <w:p w14:paraId="132E4684">
            <w:pPr>
              <w:pStyle w:val="67"/>
              <w:spacing w:line="240" w:lineRule="auto"/>
              <w:ind w:left="1100" w:firstLine="0"/>
              <w:rPr>
                <w:rFonts w:ascii="Times New Roman" w:hAnsi="Times New Roman" w:cs="Times New Roman"/>
                <w:sz w:val="15"/>
                <w:szCs w:val="15"/>
              </w:rPr>
            </w:pPr>
            <w:r>
              <w:rPr>
                <w:rFonts w:ascii="Times New Roman" w:hAnsi="Times New Roman" w:cs="Times New Roman"/>
                <w:color w:val="000000"/>
                <w:sz w:val="15"/>
                <w:szCs w:val="15"/>
                <w:lang w:val="zh-CN" w:bidi="zh-CN"/>
              </w:rPr>
              <w:t>引物和探针序列(</w:t>
            </w:r>
            <w:r>
              <w:rPr>
                <w:rFonts w:ascii="Times New Roman" w:hAnsi="Times New Roman" w:eastAsia="Times New Roman" w:cs="Times New Roman"/>
                <w:color w:val="000000"/>
                <w:sz w:val="15"/>
                <w:szCs w:val="15"/>
                <w:lang w:val="zh-CN" w:bidi="zh-CN"/>
              </w:rPr>
              <w:t>5,-3,</w:t>
            </w:r>
            <w:r>
              <w:rPr>
                <w:rFonts w:ascii="Times New Roman" w:hAnsi="Times New Roman" w:cs="Times New Roman"/>
                <w:color w:val="000000"/>
                <w:sz w:val="15"/>
                <w:szCs w:val="15"/>
                <w:lang w:val="zh-CN" w:bidi="zh-CN"/>
              </w:rPr>
              <w:t>)</w:t>
            </w:r>
          </w:p>
        </w:tc>
        <w:tc>
          <w:tcPr>
            <w:tcW w:w="1386" w:type="dxa"/>
            <w:tcBorders>
              <w:top w:val="single" w:color="auto" w:sz="4" w:space="0"/>
              <w:left w:val="single" w:color="auto" w:sz="4" w:space="0"/>
              <w:bottom w:val="single" w:color="auto" w:sz="4" w:space="0"/>
              <w:right w:val="single" w:color="auto" w:sz="4" w:space="0"/>
            </w:tcBorders>
            <w:shd w:val="clear" w:color="auto" w:fill="auto"/>
            <w:vAlign w:val="center"/>
          </w:tcPr>
          <w:p w14:paraId="2B82410A">
            <w:pPr>
              <w:rPr>
                <w:sz w:val="15"/>
                <w:szCs w:val="15"/>
              </w:rPr>
            </w:pPr>
            <w:r>
              <w:rPr>
                <w:sz w:val="15"/>
                <w:szCs w:val="15"/>
                <w:lang w:eastAsia="zh-CN"/>
              </w:rPr>
              <w:t>产物大小（bp）</w:t>
            </w:r>
          </w:p>
        </w:tc>
      </w:tr>
      <w:tr w14:paraId="1EBD58BA">
        <w:tblPrEx>
          <w:tblCellMar>
            <w:top w:w="0" w:type="dxa"/>
            <w:left w:w="10" w:type="dxa"/>
            <w:bottom w:w="0" w:type="dxa"/>
            <w:right w:w="10" w:type="dxa"/>
          </w:tblCellMar>
        </w:tblPrEx>
        <w:trPr>
          <w:trHeight w:val="586" w:hRule="exact"/>
          <w:jc w:val="center"/>
        </w:trPr>
        <w:tc>
          <w:tcPr>
            <w:tcW w:w="1297" w:type="dxa"/>
            <w:tcBorders>
              <w:top w:val="single" w:color="auto" w:sz="4" w:space="0"/>
              <w:left w:val="single" w:color="auto" w:sz="4" w:space="0"/>
              <w:bottom w:val="single" w:color="auto" w:sz="4" w:space="0"/>
              <w:right w:val="single" w:color="auto" w:sz="4" w:space="0"/>
            </w:tcBorders>
            <w:shd w:val="clear" w:color="auto" w:fill="auto"/>
            <w:vAlign w:val="center"/>
          </w:tcPr>
          <w:p w14:paraId="3826A16D">
            <w:pPr>
              <w:pStyle w:val="67"/>
              <w:spacing w:line="278" w:lineRule="exact"/>
              <w:ind w:left="400" w:firstLine="0"/>
              <w:rPr>
                <w:rFonts w:ascii="Times New Roman" w:hAnsi="Times New Roman" w:cs="Times New Roman"/>
                <w:sz w:val="15"/>
                <w:szCs w:val="15"/>
              </w:rPr>
            </w:pPr>
            <w:r>
              <w:rPr>
                <w:rFonts w:ascii="Times New Roman" w:hAnsi="Times New Roman" w:cs="Times New Roman"/>
                <w:color w:val="000000"/>
                <w:sz w:val="15"/>
                <w:szCs w:val="15"/>
                <w:lang w:val="zh-CN" w:bidi="zh-CN"/>
              </w:rPr>
              <w:t>正向引物</w:t>
            </w:r>
          </w:p>
        </w:tc>
        <w:tc>
          <w:tcPr>
            <w:tcW w:w="4536" w:type="dxa"/>
            <w:tcBorders>
              <w:top w:val="single" w:color="auto" w:sz="4" w:space="0"/>
              <w:left w:val="single" w:color="auto" w:sz="4" w:space="0"/>
              <w:bottom w:val="single" w:color="auto" w:sz="4" w:space="0"/>
              <w:right w:val="single" w:color="auto" w:sz="4" w:space="0"/>
            </w:tcBorders>
            <w:shd w:val="clear" w:color="auto" w:fill="auto"/>
            <w:vAlign w:val="center"/>
          </w:tcPr>
          <w:p w14:paraId="7C953630">
            <w:pPr>
              <w:pStyle w:val="67"/>
              <w:spacing w:after="100" w:line="240" w:lineRule="auto"/>
              <w:ind w:firstLine="400"/>
              <w:jc w:val="center"/>
              <w:rPr>
                <w:rFonts w:ascii="Times New Roman" w:hAnsi="Times New Roman" w:cs="Times New Roman"/>
                <w:color w:val="000000"/>
                <w:sz w:val="15"/>
                <w:szCs w:val="15"/>
                <w:lang w:bidi="en-US"/>
              </w:rPr>
            </w:pPr>
            <w:r>
              <w:rPr>
                <w:rFonts w:ascii="Times New Roman" w:hAnsi="Times New Roman" w:cs="Times New Roman"/>
                <w:sz w:val="15"/>
                <w:szCs w:val="15"/>
              </w:rPr>
              <w:t>GCAAAGGTTAAAGCTTTGGTAT</w:t>
            </w:r>
          </w:p>
        </w:tc>
        <w:tc>
          <w:tcPr>
            <w:tcW w:w="1386" w:type="dxa"/>
            <w:vMerge w:val="restart"/>
            <w:tcBorders>
              <w:top w:val="single" w:color="auto" w:sz="4" w:space="0"/>
              <w:left w:val="single" w:color="auto" w:sz="4" w:space="0"/>
              <w:right w:val="single" w:color="auto" w:sz="4" w:space="0"/>
            </w:tcBorders>
            <w:shd w:val="clear" w:color="auto" w:fill="auto"/>
            <w:vAlign w:val="center"/>
          </w:tcPr>
          <w:p w14:paraId="202A5573">
            <w:pPr>
              <w:pStyle w:val="67"/>
              <w:spacing w:after="100" w:line="240" w:lineRule="auto"/>
              <w:ind w:firstLine="400"/>
              <w:rPr>
                <w:rFonts w:ascii="Times New Roman" w:hAnsi="Times New Roman" w:cs="Times New Roman"/>
                <w:sz w:val="15"/>
                <w:szCs w:val="15"/>
              </w:rPr>
            </w:pPr>
            <w:r>
              <w:rPr>
                <w:rFonts w:hint="eastAsia" w:ascii="Times New Roman" w:hAnsi="Times New Roman" w:cs="Times New Roman"/>
                <w:sz w:val="15"/>
                <w:szCs w:val="15"/>
              </w:rPr>
              <w:t>397</w:t>
            </w:r>
          </w:p>
        </w:tc>
      </w:tr>
      <w:tr w14:paraId="0C45EC34">
        <w:tblPrEx>
          <w:tblCellMar>
            <w:top w:w="0" w:type="dxa"/>
            <w:left w:w="10" w:type="dxa"/>
            <w:bottom w:w="0" w:type="dxa"/>
            <w:right w:w="10" w:type="dxa"/>
          </w:tblCellMar>
        </w:tblPrEx>
        <w:trPr>
          <w:trHeight w:val="586" w:hRule="exact"/>
          <w:jc w:val="center"/>
        </w:trPr>
        <w:tc>
          <w:tcPr>
            <w:tcW w:w="1297" w:type="dxa"/>
            <w:tcBorders>
              <w:top w:val="single" w:color="auto" w:sz="4" w:space="0"/>
              <w:left w:val="single" w:color="auto" w:sz="4" w:space="0"/>
              <w:bottom w:val="single" w:color="auto" w:sz="4" w:space="0"/>
              <w:right w:val="single" w:color="auto" w:sz="4" w:space="0"/>
            </w:tcBorders>
            <w:shd w:val="clear" w:color="auto" w:fill="auto"/>
            <w:vAlign w:val="center"/>
          </w:tcPr>
          <w:p w14:paraId="000F4142">
            <w:pPr>
              <w:pStyle w:val="67"/>
              <w:spacing w:line="278" w:lineRule="exact"/>
              <w:ind w:left="400" w:firstLine="0"/>
              <w:jc w:val="center"/>
              <w:rPr>
                <w:rFonts w:ascii="Times New Roman" w:hAnsi="Times New Roman" w:cs="Times New Roman"/>
                <w:color w:val="000000"/>
                <w:sz w:val="15"/>
                <w:szCs w:val="15"/>
                <w:lang w:val="zh-CN" w:bidi="zh-CN"/>
              </w:rPr>
            </w:pPr>
            <w:r>
              <w:rPr>
                <w:rFonts w:ascii="Times New Roman" w:hAnsi="Times New Roman" w:cs="Times New Roman"/>
                <w:color w:val="000000"/>
                <w:sz w:val="15"/>
                <w:szCs w:val="15"/>
                <w:lang w:val="zh-CN" w:bidi="zh-CN"/>
              </w:rPr>
              <w:t>反向引物</w:t>
            </w:r>
          </w:p>
        </w:tc>
        <w:tc>
          <w:tcPr>
            <w:tcW w:w="4536" w:type="dxa"/>
            <w:tcBorders>
              <w:top w:val="single" w:color="auto" w:sz="4" w:space="0"/>
              <w:left w:val="single" w:color="auto" w:sz="4" w:space="0"/>
              <w:bottom w:val="single" w:color="auto" w:sz="4" w:space="0"/>
              <w:right w:val="single" w:color="auto" w:sz="4" w:space="0"/>
            </w:tcBorders>
            <w:shd w:val="clear" w:color="auto" w:fill="auto"/>
            <w:vAlign w:val="center"/>
          </w:tcPr>
          <w:p w14:paraId="319287FD">
            <w:pPr>
              <w:pStyle w:val="67"/>
              <w:spacing w:after="100" w:line="240" w:lineRule="auto"/>
              <w:ind w:firstLine="400"/>
              <w:jc w:val="center"/>
              <w:rPr>
                <w:rFonts w:ascii="Times New Roman" w:hAnsi="Times New Roman" w:cs="Times New Roman"/>
                <w:color w:val="000000"/>
                <w:sz w:val="15"/>
                <w:szCs w:val="15"/>
                <w:lang w:bidi="en-US"/>
              </w:rPr>
            </w:pPr>
            <w:r>
              <w:rPr>
                <w:rFonts w:ascii="Times New Roman" w:hAnsi="Times New Roman" w:cs="Times New Roman"/>
                <w:sz w:val="15"/>
                <w:szCs w:val="15"/>
              </w:rPr>
              <w:t>ACTTCTGTCCTGATAGAGACAT</w:t>
            </w:r>
          </w:p>
        </w:tc>
        <w:tc>
          <w:tcPr>
            <w:tcW w:w="1386" w:type="dxa"/>
            <w:vMerge w:val="continue"/>
            <w:tcBorders>
              <w:left w:val="single" w:color="auto" w:sz="4" w:space="0"/>
              <w:bottom w:val="single" w:color="auto" w:sz="4" w:space="0"/>
              <w:right w:val="single" w:color="auto" w:sz="4" w:space="0"/>
            </w:tcBorders>
            <w:shd w:val="clear" w:color="auto" w:fill="auto"/>
            <w:vAlign w:val="center"/>
          </w:tcPr>
          <w:p w14:paraId="5E56670D">
            <w:pPr>
              <w:pStyle w:val="67"/>
              <w:spacing w:after="100" w:line="240" w:lineRule="auto"/>
              <w:ind w:firstLine="400"/>
              <w:jc w:val="center"/>
              <w:rPr>
                <w:rFonts w:ascii="Times New Roman" w:hAnsi="Times New Roman" w:cs="Times New Roman"/>
                <w:sz w:val="15"/>
                <w:szCs w:val="15"/>
              </w:rPr>
            </w:pPr>
          </w:p>
        </w:tc>
      </w:tr>
    </w:tbl>
    <w:p w14:paraId="212501F3">
      <w:pPr>
        <w:spacing w:line="360" w:lineRule="auto"/>
        <w:rPr>
          <w:color w:val="000000"/>
          <w:sz w:val="21"/>
          <w:lang w:eastAsia="zh-CN"/>
        </w:rPr>
      </w:pPr>
    </w:p>
    <w:p w14:paraId="2D2E5A4E">
      <w:pPr>
        <w:spacing w:line="360" w:lineRule="auto"/>
        <w:jc w:val="center"/>
        <w:rPr>
          <w:rFonts w:ascii="黑体" w:hAnsi="黑体" w:cs="黑体"/>
          <w:color w:val="000000"/>
          <w:sz w:val="18"/>
          <w:szCs w:val="18"/>
          <w:lang w:eastAsia="zh-CN"/>
        </w:rPr>
      </w:pPr>
      <w:r>
        <w:rPr>
          <w:rFonts w:hint="eastAsia" w:ascii="宋体" w:hAnsi="宋体" w:cs="宋体"/>
          <w:color w:val="000000"/>
          <w:sz w:val="18"/>
          <w:szCs w:val="18"/>
          <w:lang w:val="zh-CN" w:eastAsia="zh-CN" w:bidi="zh-CN"/>
        </w:rPr>
        <w:t>表</w:t>
      </w:r>
      <w:r>
        <w:rPr>
          <w:rFonts w:hint="eastAsia"/>
          <w:b/>
          <w:bCs/>
          <w:color w:val="000000"/>
          <w:sz w:val="18"/>
          <w:szCs w:val="18"/>
          <w:lang w:val="zh-CN" w:eastAsia="zh-CN" w:bidi="zh-CN"/>
        </w:rPr>
        <w:t>2</w:t>
      </w:r>
      <w:r>
        <w:rPr>
          <w:rFonts w:hint="eastAsia" w:ascii="宋体" w:hAnsi="宋体" w:cs="宋体"/>
          <w:color w:val="000000"/>
          <w:sz w:val="18"/>
          <w:szCs w:val="18"/>
          <w:lang w:val="zh-CN" w:eastAsia="zh-CN" w:bidi="zh-CN"/>
        </w:rPr>
        <w:t>实时荧光</w:t>
      </w:r>
      <w:r>
        <w:rPr>
          <w:rFonts w:ascii="宋体" w:hAnsi="宋体" w:cs="宋体"/>
          <w:color w:val="000000"/>
          <w:sz w:val="18"/>
          <w:szCs w:val="18"/>
          <w:lang w:val="zh-CN" w:eastAsia="zh-CN" w:bidi="zh-CN"/>
        </w:rPr>
        <w:t>RT-PCR</w:t>
      </w:r>
      <w:r>
        <w:rPr>
          <w:rFonts w:hint="eastAsia" w:ascii="宋体" w:hAnsi="宋体" w:cs="宋体"/>
          <w:color w:val="000000"/>
          <w:sz w:val="18"/>
          <w:szCs w:val="18"/>
          <w:lang w:val="zh-CN" w:eastAsia="zh-CN" w:bidi="zh-CN"/>
        </w:rPr>
        <w:t>扩增引物和探针</w:t>
      </w:r>
    </w:p>
    <w:tbl>
      <w:tblPr>
        <w:tblStyle w:val="21"/>
        <w:tblW w:w="0" w:type="auto"/>
        <w:jc w:val="center"/>
        <w:tblLayout w:type="fixed"/>
        <w:tblCellMar>
          <w:top w:w="0" w:type="dxa"/>
          <w:left w:w="10" w:type="dxa"/>
          <w:bottom w:w="0" w:type="dxa"/>
          <w:right w:w="10" w:type="dxa"/>
        </w:tblCellMar>
      </w:tblPr>
      <w:tblGrid>
        <w:gridCol w:w="1968"/>
        <w:gridCol w:w="941"/>
        <w:gridCol w:w="3475"/>
        <w:gridCol w:w="1776"/>
      </w:tblGrid>
      <w:tr w14:paraId="52CE9FF1">
        <w:tblPrEx>
          <w:tblCellMar>
            <w:top w:w="0" w:type="dxa"/>
            <w:left w:w="10" w:type="dxa"/>
            <w:bottom w:w="0" w:type="dxa"/>
            <w:right w:w="10" w:type="dxa"/>
          </w:tblCellMar>
        </w:tblPrEx>
        <w:trPr>
          <w:trHeight w:val="278" w:hRule="exact"/>
          <w:jc w:val="center"/>
        </w:trPr>
        <w:tc>
          <w:tcPr>
            <w:tcW w:w="1968" w:type="dxa"/>
            <w:tcBorders>
              <w:top w:val="single" w:color="auto" w:sz="4" w:space="0"/>
            </w:tcBorders>
            <w:shd w:val="clear" w:color="auto" w:fill="auto"/>
            <w:vAlign w:val="bottom"/>
          </w:tcPr>
          <w:p w14:paraId="5C7F8C63">
            <w:pPr>
              <w:pStyle w:val="67"/>
              <w:spacing w:line="240" w:lineRule="auto"/>
              <w:ind w:firstLine="320"/>
              <w:rPr>
                <w:sz w:val="15"/>
                <w:szCs w:val="15"/>
              </w:rPr>
            </w:pPr>
            <w:r>
              <w:rPr>
                <w:rFonts w:hint="eastAsia"/>
                <w:color w:val="000000"/>
                <w:sz w:val="15"/>
                <w:szCs w:val="15"/>
                <w:lang w:val="zh-CN" w:bidi="zh-CN"/>
              </w:rPr>
              <w:t>引物和探针名称</w:t>
            </w:r>
          </w:p>
        </w:tc>
        <w:tc>
          <w:tcPr>
            <w:tcW w:w="941" w:type="dxa"/>
            <w:tcBorders>
              <w:top w:val="single" w:color="auto" w:sz="4" w:space="0"/>
            </w:tcBorders>
            <w:shd w:val="clear" w:color="auto" w:fill="auto"/>
          </w:tcPr>
          <w:p w14:paraId="72DBF778">
            <w:pPr>
              <w:rPr>
                <w:sz w:val="10"/>
                <w:szCs w:val="10"/>
              </w:rPr>
            </w:pPr>
          </w:p>
        </w:tc>
        <w:tc>
          <w:tcPr>
            <w:tcW w:w="3475" w:type="dxa"/>
            <w:tcBorders>
              <w:top w:val="single" w:color="auto" w:sz="4" w:space="0"/>
            </w:tcBorders>
            <w:shd w:val="clear" w:color="auto" w:fill="auto"/>
            <w:vAlign w:val="bottom"/>
          </w:tcPr>
          <w:p w14:paraId="130147F7">
            <w:pPr>
              <w:pStyle w:val="67"/>
              <w:spacing w:line="240" w:lineRule="auto"/>
              <w:ind w:left="1100" w:firstLine="0"/>
              <w:rPr>
                <w:sz w:val="15"/>
                <w:szCs w:val="15"/>
              </w:rPr>
            </w:pPr>
            <w:r>
              <w:rPr>
                <w:rFonts w:hint="eastAsia"/>
                <w:color w:val="000000"/>
                <w:sz w:val="15"/>
                <w:szCs w:val="15"/>
                <w:lang w:val="zh-CN" w:bidi="zh-CN"/>
              </w:rPr>
              <w:t>引物和探针序列</w:t>
            </w:r>
            <w:r>
              <w:rPr>
                <w:color w:val="000000"/>
                <w:sz w:val="15"/>
                <w:szCs w:val="15"/>
                <w:lang w:val="zh-CN" w:bidi="zh-CN"/>
              </w:rPr>
              <w:t>(</w:t>
            </w:r>
            <w:r>
              <w:rPr>
                <w:rFonts w:ascii="Times New Roman" w:hAnsi="Times New Roman" w:eastAsia="Times New Roman" w:cs="Times New Roman"/>
                <w:color w:val="000000"/>
                <w:sz w:val="15"/>
                <w:szCs w:val="15"/>
                <w:lang w:val="zh-CN" w:bidi="zh-CN"/>
              </w:rPr>
              <w:t>5,-3,</w:t>
            </w:r>
            <w:r>
              <w:rPr>
                <w:color w:val="000000"/>
                <w:sz w:val="15"/>
                <w:szCs w:val="15"/>
                <w:lang w:val="zh-CN" w:bidi="zh-CN"/>
              </w:rPr>
              <w:t>)</w:t>
            </w:r>
          </w:p>
        </w:tc>
        <w:tc>
          <w:tcPr>
            <w:tcW w:w="1776" w:type="dxa"/>
            <w:tcBorders>
              <w:top w:val="single" w:color="auto" w:sz="4" w:space="0"/>
            </w:tcBorders>
            <w:shd w:val="clear" w:color="auto" w:fill="auto"/>
          </w:tcPr>
          <w:p w14:paraId="610F10BB">
            <w:pPr>
              <w:rPr>
                <w:sz w:val="10"/>
                <w:szCs w:val="10"/>
              </w:rPr>
            </w:pPr>
          </w:p>
        </w:tc>
      </w:tr>
      <w:tr w14:paraId="2668E947">
        <w:tblPrEx>
          <w:tblCellMar>
            <w:top w:w="0" w:type="dxa"/>
            <w:left w:w="10" w:type="dxa"/>
            <w:bottom w:w="0" w:type="dxa"/>
            <w:right w:w="10" w:type="dxa"/>
          </w:tblCellMar>
        </w:tblPrEx>
        <w:trPr>
          <w:trHeight w:val="878" w:hRule="exact"/>
          <w:jc w:val="center"/>
        </w:trPr>
        <w:tc>
          <w:tcPr>
            <w:tcW w:w="1968" w:type="dxa"/>
            <w:tcBorders>
              <w:top w:val="single" w:color="auto" w:sz="4" w:space="0"/>
              <w:bottom w:val="single" w:color="auto" w:sz="4" w:space="0"/>
            </w:tcBorders>
            <w:shd w:val="clear" w:color="auto" w:fill="auto"/>
            <w:vAlign w:val="bottom"/>
          </w:tcPr>
          <w:p w14:paraId="010E95B6">
            <w:pPr>
              <w:pStyle w:val="67"/>
              <w:spacing w:line="278" w:lineRule="exact"/>
              <w:ind w:left="400" w:firstLine="0"/>
              <w:rPr>
                <w:color w:val="000000"/>
                <w:sz w:val="15"/>
                <w:szCs w:val="15"/>
                <w:lang w:val="zh-CN" w:bidi="zh-CN"/>
              </w:rPr>
            </w:pPr>
            <w:r>
              <w:rPr>
                <w:rFonts w:hint="eastAsia"/>
                <w:color w:val="000000"/>
                <w:sz w:val="15"/>
                <w:szCs w:val="15"/>
                <w:lang w:val="zh-CN" w:bidi="zh-CN"/>
              </w:rPr>
              <w:t>正向引物</w:t>
            </w:r>
            <w:r>
              <w:rPr>
                <w:color w:val="000000"/>
                <w:sz w:val="15"/>
                <w:szCs w:val="15"/>
                <w:lang w:val="zh-CN" w:bidi="zh-CN"/>
              </w:rPr>
              <w:t xml:space="preserve"> </w:t>
            </w:r>
          </w:p>
          <w:p w14:paraId="7B60387F">
            <w:pPr>
              <w:pStyle w:val="67"/>
              <w:spacing w:line="278" w:lineRule="exact"/>
              <w:ind w:left="400" w:firstLine="0"/>
              <w:rPr>
                <w:color w:val="000000"/>
                <w:sz w:val="15"/>
                <w:szCs w:val="15"/>
                <w:lang w:val="zh-CN" w:bidi="zh-CN"/>
              </w:rPr>
            </w:pPr>
            <w:r>
              <w:rPr>
                <w:rFonts w:hint="eastAsia"/>
                <w:color w:val="000000"/>
                <w:sz w:val="15"/>
                <w:szCs w:val="15"/>
                <w:lang w:val="zh-CN" w:bidi="zh-CN"/>
              </w:rPr>
              <w:t>反向引物</w:t>
            </w:r>
          </w:p>
          <w:p w14:paraId="088AC491">
            <w:pPr>
              <w:pStyle w:val="67"/>
              <w:spacing w:line="278" w:lineRule="exact"/>
              <w:ind w:left="400" w:firstLine="0"/>
              <w:rPr>
                <w:sz w:val="15"/>
                <w:szCs w:val="15"/>
              </w:rPr>
            </w:pPr>
            <w:r>
              <w:rPr>
                <w:color w:val="000000"/>
                <w:sz w:val="15"/>
                <w:szCs w:val="15"/>
                <w:lang w:val="zh-CN" w:bidi="zh-CN"/>
              </w:rPr>
              <w:t xml:space="preserve"> </w:t>
            </w:r>
            <w:r>
              <w:rPr>
                <w:rFonts w:hint="eastAsia"/>
                <w:color w:val="000000"/>
                <w:sz w:val="15"/>
                <w:szCs w:val="15"/>
                <w:lang w:val="zh-CN" w:bidi="zh-CN"/>
              </w:rPr>
              <w:t>探针</w:t>
            </w:r>
          </w:p>
        </w:tc>
        <w:tc>
          <w:tcPr>
            <w:tcW w:w="941" w:type="dxa"/>
            <w:tcBorders>
              <w:top w:val="single" w:color="auto" w:sz="4" w:space="0"/>
              <w:bottom w:val="single" w:color="auto" w:sz="4" w:space="0"/>
            </w:tcBorders>
            <w:shd w:val="clear" w:color="auto" w:fill="auto"/>
          </w:tcPr>
          <w:p w14:paraId="08A9ADD1">
            <w:pPr>
              <w:rPr>
                <w:sz w:val="10"/>
                <w:szCs w:val="10"/>
                <w:lang w:eastAsia="zh-CN"/>
              </w:rPr>
            </w:pPr>
          </w:p>
        </w:tc>
        <w:tc>
          <w:tcPr>
            <w:tcW w:w="5251" w:type="dxa"/>
            <w:gridSpan w:val="2"/>
            <w:tcBorders>
              <w:top w:val="single" w:color="auto" w:sz="4" w:space="0"/>
              <w:bottom w:val="single" w:color="auto" w:sz="4" w:space="0"/>
            </w:tcBorders>
            <w:shd w:val="clear" w:color="auto" w:fill="auto"/>
            <w:vAlign w:val="bottom"/>
          </w:tcPr>
          <w:p w14:paraId="4791D8D2">
            <w:pPr>
              <w:pStyle w:val="67"/>
              <w:spacing w:after="100" w:line="240" w:lineRule="auto"/>
              <w:ind w:firstLine="400"/>
              <w:rPr>
                <w:rFonts w:ascii="Times New Roman" w:hAnsi="Times New Roman" w:cs="Times New Roman"/>
                <w:color w:val="000000"/>
                <w:sz w:val="15"/>
                <w:szCs w:val="15"/>
                <w:lang w:bidi="en-US"/>
              </w:rPr>
            </w:pPr>
            <w:r>
              <w:rPr>
                <w:rFonts w:ascii="Times New Roman" w:hAnsi="Times New Roman" w:eastAsia="Times New Roman" w:cs="Times New Roman"/>
                <w:color w:val="000000"/>
                <w:sz w:val="15"/>
                <w:szCs w:val="15"/>
                <w:lang w:eastAsia="en-US" w:bidi="en-US"/>
              </w:rPr>
              <w:t xml:space="preserve">ACGCTGGCGTGTCTATGGA </w:t>
            </w:r>
          </w:p>
          <w:p w14:paraId="609D65E1">
            <w:pPr>
              <w:pStyle w:val="67"/>
              <w:spacing w:after="100" w:line="240" w:lineRule="auto"/>
              <w:ind w:firstLine="400"/>
              <w:rPr>
                <w:sz w:val="15"/>
                <w:szCs w:val="15"/>
              </w:rPr>
            </w:pPr>
            <w:r>
              <w:rPr>
                <w:rFonts w:ascii="Times New Roman" w:hAnsi="Times New Roman" w:eastAsia="Times New Roman" w:cs="Times New Roman"/>
                <w:color w:val="000000"/>
                <w:sz w:val="15"/>
                <w:szCs w:val="15"/>
                <w:lang w:eastAsia="en-US" w:bidi="en-US"/>
              </w:rPr>
              <w:t>CATCCGACACCACTTGAAGGT</w:t>
            </w:r>
          </w:p>
          <w:p w14:paraId="1B158C44">
            <w:pPr>
              <w:pStyle w:val="67"/>
              <w:spacing w:after="100" w:line="240" w:lineRule="auto"/>
              <w:ind w:firstLine="400"/>
              <w:rPr>
                <w:sz w:val="15"/>
                <w:szCs w:val="15"/>
              </w:rPr>
            </w:pPr>
            <w:r>
              <w:rPr>
                <w:rFonts w:ascii="Times New Roman" w:hAnsi="Times New Roman" w:eastAsia="Times New Roman" w:cs="Times New Roman"/>
                <w:color w:val="000000"/>
                <w:sz w:val="15"/>
                <w:szCs w:val="15"/>
                <w:lang w:eastAsia="en-US" w:bidi="en-US"/>
              </w:rPr>
              <w:t>FAM -TCATGCTCACAATCAC -MGB</w:t>
            </w:r>
          </w:p>
        </w:tc>
      </w:tr>
    </w:tbl>
    <w:p w14:paraId="7E4C3E76">
      <w:pPr>
        <w:pStyle w:val="65"/>
        <w:ind w:left="432"/>
        <w:rPr>
          <w:color w:val="000000"/>
        </w:rPr>
      </w:pPr>
      <w:r>
        <w:rPr>
          <w:rFonts w:hint="eastAsia"/>
          <w:color w:val="000000"/>
        </w:rPr>
        <w:t>注：探针也可选用具有与</w:t>
      </w:r>
      <w:r>
        <w:rPr>
          <w:rFonts w:ascii="Times New Roman" w:hAnsi="Times New Roman" w:eastAsia="Times New Roman" w:cs="Times New Roman"/>
          <w:color w:val="000000"/>
          <w:lang w:val="en-US" w:bidi="en-US"/>
        </w:rPr>
        <w:t>FAM</w:t>
      </w:r>
      <w:r>
        <w:rPr>
          <w:rFonts w:hint="eastAsia"/>
          <w:color w:val="000000"/>
        </w:rPr>
        <w:t>和</w:t>
      </w:r>
      <w:r>
        <w:rPr>
          <w:rFonts w:ascii="Times New Roman" w:hAnsi="Times New Roman" w:eastAsia="Times New Roman" w:cs="Times New Roman"/>
          <w:color w:val="000000"/>
          <w:lang w:val="en-US" w:bidi="en-US"/>
        </w:rPr>
        <w:t>BHQ-1</w:t>
      </w:r>
      <w:r>
        <w:rPr>
          <w:rFonts w:hint="eastAsia"/>
          <w:color w:val="000000"/>
        </w:rPr>
        <w:t>荧光基团相同检测效果的其他合适的荧光报告基团和荧光淬灭基团组合。</w:t>
      </w:r>
    </w:p>
    <w:p w14:paraId="31EC7F63">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7</w:t>
      </w:r>
      <w:r>
        <w:rPr>
          <w:rFonts w:hint="eastAsia" w:ascii="黑体" w:hAnsi="黑体" w:eastAsia="黑体" w:cs="黑体"/>
          <w:color w:val="000000"/>
          <w:sz w:val="21"/>
          <w:lang w:val="en-US" w:eastAsia="zh-CN"/>
        </w:rPr>
        <w:t xml:space="preserve">  </w:t>
      </w:r>
      <w:r>
        <w:rPr>
          <w:rFonts w:hint="eastAsia" w:ascii="黑体" w:hAnsi="黑体" w:eastAsia="黑体" w:cs="黑体"/>
          <w:color w:val="000000"/>
          <w:sz w:val="21"/>
          <w:lang w:eastAsia="zh-CN"/>
        </w:rPr>
        <w:t>样品采集</w:t>
      </w:r>
    </w:p>
    <w:p w14:paraId="018DC68B">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7.1</w:t>
      </w:r>
      <w:r>
        <w:rPr>
          <w:rFonts w:hint="eastAsia" w:ascii="黑体" w:hAnsi="黑体" w:eastAsia="黑体" w:cs="黑体"/>
          <w:color w:val="000000"/>
          <w:sz w:val="21"/>
          <w:lang w:val="en-US" w:eastAsia="zh-CN"/>
        </w:rPr>
        <w:t xml:space="preserve"> </w:t>
      </w:r>
      <w:r>
        <w:rPr>
          <w:rFonts w:hint="eastAsia" w:ascii="黑体" w:hAnsi="黑体" w:eastAsia="黑体" w:cs="黑体"/>
          <w:color w:val="000000"/>
          <w:sz w:val="21"/>
          <w:lang w:eastAsia="zh-CN"/>
        </w:rPr>
        <w:t>生物安全要求</w:t>
      </w:r>
    </w:p>
    <w:p w14:paraId="48A2B79E">
      <w:pPr>
        <w:spacing w:line="360" w:lineRule="auto"/>
        <w:rPr>
          <w:color w:val="000000"/>
          <w:sz w:val="21"/>
          <w:lang w:eastAsia="zh-CN"/>
        </w:rPr>
      </w:pPr>
      <w:r>
        <w:rPr>
          <w:color w:val="000000"/>
          <w:sz w:val="21"/>
          <w:lang w:eastAsia="zh-CN"/>
        </w:rPr>
        <w:t>实验操作及处理按照GB 19489的规定，由具备相关资质的工作人员进行相应操作。</w:t>
      </w:r>
    </w:p>
    <w:p w14:paraId="6BD8A1F4">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7.2</w:t>
      </w:r>
      <w:r>
        <w:rPr>
          <w:rFonts w:hint="eastAsia" w:ascii="黑体" w:hAnsi="黑体" w:eastAsia="黑体" w:cs="黑体"/>
          <w:color w:val="000000"/>
          <w:sz w:val="21"/>
          <w:lang w:val="en-US" w:eastAsia="zh-CN"/>
        </w:rPr>
        <w:t xml:space="preserve"> </w:t>
      </w:r>
      <w:r>
        <w:rPr>
          <w:rFonts w:hint="eastAsia" w:ascii="黑体" w:hAnsi="黑体" w:eastAsia="黑体" w:cs="黑体"/>
          <w:color w:val="000000"/>
          <w:sz w:val="21"/>
          <w:lang w:eastAsia="zh-CN"/>
        </w:rPr>
        <w:t>采样及样本的处理</w:t>
      </w:r>
    </w:p>
    <w:p w14:paraId="464C8D4E">
      <w:pPr>
        <w:spacing w:line="360" w:lineRule="auto"/>
        <w:rPr>
          <w:rFonts w:hint="default" w:ascii="Times New Roman" w:hAnsi="Times New Roman" w:eastAsia="宋体" w:cs="Times New Roman"/>
          <w:color w:val="000000"/>
          <w:sz w:val="21"/>
          <w:lang w:eastAsia="zh-CN"/>
        </w:rPr>
      </w:pPr>
      <w:r>
        <w:rPr>
          <w:rFonts w:hint="default" w:ascii="Times New Roman" w:hAnsi="Times New Roman" w:eastAsia="宋体" w:cs="Times New Roman"/>
          <w:color w:val="000000"/>
          <w:sz w:val="21"/>
          <w:lang w:eastAsia="zh-CN"/>
        </w:rPr>
        <w:t>7.2.1</w:t>
      </w:r>
      <w:r>
        <w:rPr>
          <w:rFonts w:hint="eastAsia" w:cs="Times New Roman"/>
          <w:color w:val="000000"/>
          <w:sz w:val="21"/>
          <w:lang w:val="en-US" w:eastAsia="zh-CN"/>
        </w:rPr>
        <w:t xml:space="preserve"> </w:t>
      </w:r>
      <w:r>
        <w:rPr>
          <w:rFonts w:hint="default" w:ascii="Times New Roman" w:hAnsi="Times New Roman" w:eastAsia="宋体" w:cs="Times New Roman"/>
          <w:color w:val="000000"/>
          <w:sz w:val="21"/>
          <w:lang w:eastAsia="zh-CN"/>
        </w:rPr>
        <w:t>盲肠内容物或粪便</w:t>
      </w:r>
    </w:p>
    <w:p w14:paraId="3AF35CD0">
      <w:pPr>
        <w:spacing w:line="360" w:lineRule="auto"/>
        <w:rPr>
          <w:color w:val="000000"/>
          <w:sz w:val="21"/>
          <w:lang w:eastAsia="zh-CN"/>
        </w:rPr>
      </w:pPr>
      <w:r>
        <w:rPr>
          <w:color w:val="000000"/>
          <w:sz w:val="21"/>
          <w:lang w:eastAsia="zh-CN"/>
        </w:rPr>
        <w:t>无菌采集约1 g的盲肠内容物或1</w:t>
      </w:r>
      <w:r>
        <w:rPr>
          <w:rFonts w:hint="eastAsia"/>
          <w:color w:val="000000"/>
          <w:sz w:val="21"/>
          <w:lang w:eastAsia="zh-CN"/>
        </w:rPr>
        <w:t>〜</w:t>
      </w:r>
      <w:r>
        <w:rPr>
          <w:color w:val="000000"/>
          <w:sz w:val="21"/>
          <w:lang w:eastAsia="zh-CN"/>
        </w:rPr>
        <w:t>2颗粪便置于无菌</w:t>
      </w:r>
      <w:r>
        <w:rPr>
          <w:rFonts w:hint="eastAsia"/>
          <w:color w:val="000000"/>
          <w:sz w:val="21"/>
          <w:lang w:eastAsia="zh-CN"/>
        </w:rPr>
        <w:t>1.5</w:t>
      </w:r>
      <w:r>
        <w:rPr>
          <w:color w:val="000000"/>
          <w:sz w:val="21"/>
          <w:lang w:eastAsia="zh-CN"/>
        </w:rPr>
        <w:t>mL离心管，加入</w:t>
      </w:r>
      <w:r>
        <w:rPr>
          <w:rFonts w:hint="eastAsia"/>
          <w:color w:val="000000"/>
          <w:sz w:val="21"/>
          <w:lang w:eastAsia="zh-CN"/>
        </w:rPr>
        <w:t>1</w:t>
      </w:r>
      <w:r>
        <w:rPr>
          <w:color w:val="000000"/>
          <w:sz w:val="21"/>
          <w:lang w:eastAsia="zh-CN"/>
        </w:rPr>
        <w:t xml:space="preserve"> mL灭菌PBS, 使用电动匀浆器充分匀浆1~2 min, 12 000 r/min离心</w:t>
      </w:r>
      <w:r>
        <w:rPr>
          <w:rFonts w:hint="eastAsia"/>
          <w:color w:val="000000"/>
          <w:sz w:val="21"/>
          <w:lang w:eastAsia="zh-CN"/>
        </w:rPr>
        <w:t>5</w:t>
      </w:r>
      <w:r>
        <w:rPr>
          <w:color w:val="000000"/>
          <w:sz w:val="21"/>
          <w:lang w:eastAsia="zh-CN"/>
        </w:rPr>
        <w:t>min,取上清液转入另一无菌</w:t>
      </w:r>
      <w:r>
        <w:rPr>
          <w:rFonts w:hint="eastAsia"/>
          <w:color w:val="000000"/>
          <w:sz w:val="21"/>
          <w:lang w:eastAsia="zh-CN"/>
        </w:rPr>
        <w:t>1.5</w:t>
      </w:r>
      <w:r>
        <w:rPr>
          <w:color w:val="000000"/>
          <w:sz w:val="21"/>
          <w:lang w:eastAsia="zh-CN"/>
        </w:rPr>
        <w:t xml:space="preserve"> mL 离心管中，编号备用。</w:t>
      </w:r>
    </w:p>
    <w:p w14:paraId="7CE4C177">
      <w:pPr>
        <w:spacing w:line="360" w:lineRule="auto"/>
        <w:rPr>
          <w:rFonts w:hint="default" w:ascii="Times New Roman" w:hAnsi="Times New Roman" w:eastAsia="宋体" w:cs="Times New Roman"/>
          <w:color w:val="000000"/>
          <w:sz w:val="21"/>
          <w:lang w:eastAsia="zh-CN"/>
        </w:rPr>
      </w:pPr>
      <w:r>
        <w:rPr>
          <w:rFonts w:hint="default" w:ascii="Times New Roman" w:hAnsi="Times New Roman" w:eastAsia="宋体" w:cs="Times New Roman"/>
          <w:color w:val="000000"/>
          <w:sz w:val="21"/>
          <w:lang w:eastAsia="zh-CN"/>
        </w:rPr>
        <w:t>7.2.2</w:t>
      </w:r>
      <w:r>
        <w:rPr>
          <w:rFonts w:hint="default" w:ascii="Times New Roman" w:hAnsi="Times New Roman" w:eastAsia="宋体" w:cs="Times New Roman"/>
          <w:color w:val="000000"/>
          <w:sz w:val="21"/>
          <w:lang w:val="en-US" w:eastAsia="zh-CN"/>
        </w:rPr>
        <w:t xml:space="preserve"> </w:t>
      </w:r>
      <w:r>
        <w:rPr>
          <w:rFonts w:hint="default" w:ascii="Times New Roman" w:hAnsi="Times New Roman" w:eastAsia="宋体" w:cs="Times New Roman"/>
          <w:color w:val="000000"/>
          <w:sz w:val="21"/>
          <w:lang w:eastAsia="zh-CN"/>
        </w:rPr>
        <w:t>实验动物环境</w:t>
      </w:r>
    </w:p>
    <w:p w14:paraId="661381BB">
      <w:pPr>
        <w:spacing w:line="360" w:lineRule="auto"/>
        <w:rPr>
          <w:color w:val="000000"/>
          <w:sz w:val="21"/>
          <w:lang w:eastAsia="zh-CN"/>
        </w:rPr>
      </w:pPr>
      <w:r>
        <w:rPr>
          <w:rFonts w:hint="eastAsia"/>
          <w:color w:val="000000"/>
          <w:sz w:val="21"/>
          <w:lang w:eastAsia="zh-CN"/>
        </w:rPr>
        <w:t>7.2.2.1</w:t>
      </w:r>
      <w:r>
        <w:rPr>
          <w:rFonts w:hint="eastAsia"/>
          <w:color w:val="000000"/>
          <w:sz w:val="21"/>
          <w:lang w:val="en-US" w:eastAsia="zh-CN"/>
        </w:rPr>
        <w:t xml:space="preserve"> </w:t>
      </w:r>
      <w:r>
        <w:rPr>
          <w:color w:val="000000"/>
          <w:sz w:val="21"/>
          <w:lang w:eastAsia="zh-CN"/>
        </w:rPr>
        <w:t>实验动物饲料、垫料和饮水</w:t>
      </w:r>
    </w:p>
    <w:p w14:paraId="49A81091">
      <w:pPr>
        <w:spacing w:line="360" w:lineRule="auto"/>
        <w:rPr>
          <w:color w:val="000000"/>
          <w:sz w:val="21"/>
          <w:lang w:eastAsia="zh-CN"/>
        </w:rPr>
      </w:pPr>
      <w:r>
        <w:rPr>
          <w:color w:val="000000"/>
          <w:sz w:val="21"/>
          <w:lang w:eastAsia="zh-CN"/>
        </w:rPr>
        <w:t>取适量实验动物饲料和垫料置于聚乙烯薄膜袋中，加入适量灭菌PBS (饲料和垫料需 全部浸泡于液体中)o密封后浸泡5~10 min,充分混匀，将混悬液转移至</w:t>
      </w:r>
      <w:r>
        <w:rPr>
          <w:rFonts w:hint="eastAsia"/>
          <w:color w:val="000000"/>
          <w:sz w:val="21"/>
          <w:lang w:eastAsia="zh-CN"/>
        </w:rPr>
        <w:t>1.5</w:t>
      </w:r>
      <w:r>
        <w:rPr>
          <w:color w:val="000000"/>
          <w:sz w:val="21"/>
          <w:lang w:eastAsia="zh-CN"/>
        </w:rPr>
        <w:t>mL离心管中， 4</w:t>
      </w:r>
      <w:r>
        <w:rPr>
          <w:rFonts w:hint="eastAsia" w:ascii="宋体" w:hAnsi="宋体"/>
          <w:color w:val="000000"/>
          <w:sz w:val="21"/>
          <w:lang w:eastAsia="zh-CN"/>
        </w:rPr>
        <w:t>℃</w:t>
      </w:r>
      <w:r>
        <w:rPr>
          <w:color w:val="000000"/>
          <w:sz w:val="21"/>
          <w:lang w:eastAsia="zh-CN"/>
        </w:rPr>
        <w:t>、12 000 r/min离心</w:t>
      </w:r>
      <w:r>
        <w:rPr>
          <w:rFonts w:hint="eastAsia"/>
          <w:color w:val="000000"/>
          <w:sz w:val="21"/>
          <w:lang w:eastAsia="zh-CN"/>
        </w:rPr>
        <w:t>5</w:t>
      </w:r>
      <w:r>
        <w:rPr>
          <w:color w:val="000000"/>
          <w:sz w:val="21"/>
          <w:lang w:eastAsia="zh-CN"/>
        </w:rPr>
        <w:t xml:space="preserve"> min,取上清液转入另一无菌</w:t>
      </w:r>
      <w:r>
        <w:rPr>
          <w:rFonts w:hint="eastAsia"/>
          <w:color w:val="000000"/>
          <w:sz w:val="21"/>
          <w:lang w:eastAsia="zh-CN"/>
        </w:rPr>
        <w:t>1.5</w:t>
      </w:r>
      <w:r>
        <w:rPr>
          <w:color w:val="000000"/>
          <w:sz w:val="21"/>
          <w:lang w:eastAsia="zh-CN"/>
        </w:rPr>
        <w:t xml:space="preserve"> mL离心管中，编号备用。取适 量实验动物饮水直接转移到无菌</w:t>
      </w:r>
      <w:r>
        <w:rPr>
          <w:rFonts w:hint="eastAsia"/>
          <w:color w:val="000000"/>
          <w:sz w:val="21"/>
          <w:lang w:eastAsia="zh-CN"/>
        </w:rPr>
        <w:t>1.5</w:t>
      </w:r>
      <w:r>
        <w:rPr>
          <w:color w:val="000000"/>
          <w:sz w:val="21"/>
          <w:lang w:eastAsia="zh-CN"/>
        </w:rPr>
        <w:t xml:space="preserve"> mL离心管中，编号备用。</w:t>
      </w:r>
    </w:p>
    <w:p w14:paraId="2099DA39">
      <w:pPr>
        <w:spacing w:line="360" w:lineRule="auto"/>
        <w:rPr>
          <w:color w:val="000000"/>
          <w:sz w:val="21"/>
          <w:lang w:eastAsia="zh-CN"/>
        </w:rPr>
      </w:pPr>
      <w:r>
        <w:rPr>
          <w:rFonts w:hint="eastAsia"/>
          <w:color w:val="000000"/>
          <w:sz w:val="21"/>
          <w:lang w:eastAsia="zh-CN"/>
        </w:rPr>
        <w:t>7.2.2.2</w:t>
      </w:r>
      <w:r>
        <w:rPr>
          <w:rFonts w:hint="eastAsia"/>
          <w:color w:val="000000"/>
          <w:sz w:val="21"/>
          <w:lang w:val="en-US" w:eastAsia="zh-CN"/>
        </w:rPr>
        <w:t xml:space="preserve"> </w:t>
      </w:r>
      <w:r>
        <w:rPr>
          <w:color w:val="000000"/>
          <w:sz w:val="21"/>
          <w:lang w:eastAsia="zh-CN"/>
        </w:rPr>
        <w:t>实验动物设施设备</w:t>
      </w:r>
    </w:p>
    <w:p w14:paraId="257D0E7E">
      <w:pPr>
        <w:spacing w:line="360" w:lineRule="auto"/>
        <w:rPr>
          <w:color w:val="000000"/>
          <w:sz w:val="21"/>
          <w:lang w:eastAsia="zh-CN"/>
        </w:rPr>
      </w:pPr>
      <w:r>
        <w:rPr>
          <w:color w:val="000000"/>
          <w:sz w:val="21"/>
          <w:lang w:eastAsia="zh-CN"/>
        </w:rPr>
        <w:t>用灭菌棉拭子拭取实验动物设施设备出风口初效滤膜表面沉积物，将拭子置入灭菌</w:t>
      </w:r>
      <w:r>
        <w:rPr>
          <w:rFonts w:hint="eastAsia"/>
          <w:color w:val="000000"/>
          <w:sz w:val="21"/>
          <w:lang w:eastAsia="zh-CN"/>
        </w:rPr>
        <w:t>2</w:t>
      </w:r>
      <w:r>
        <w:rPr>
          <w:color w:val="000000"/>
          <w:sz w:val="21"/>
          <w:lang w:eastAsia="zh-CN"/>
        </w:rPr>
        <w:t>mL离心管，加入适量灭菌PBS,浸泡5~10 min,充分混匀，取出棉拭子，将离心管于4</w:t>
      </w:r>
      <w:r>
        <w:rPr>
          <w:rFonts w:hint="eastAsia" w:ascii="宋体" w:hAnsi="宋体"/>
          <w:color w:val="000000"/>
          <w:sz w:val="21"/>
          <w:lang w:eastAsia="zh-CN"/>
        </w:rPr>
        <w:t>℃</w:t>
      </w:r>
      <w:r>
        <w:rPr>
          <w:color w:val="000000"/>
          <w:sz w:val="21"/>
          <w:lang w:eastAsia="zh-CN"/>
        </w:rPr>
        <w:t>、12 000 r/min离心</w:t>
      </w:r>
      <w:r>
        <w:rPr>
          <w:rFonts w:hint="eastAsia"/>
          <w:color w:val="000000"/>
          <w:sz w:val="21"/>
          <w:lang w:eastAsia="zh-CN"/>
        </w:rPr>
        <w:t>5</w:t>
      </w:r>
      <w:r>
        <w:rPr>
          <w:color w:val="000000"/>
          <w:sz w:val="21"/>
          <w:lang w:eastAsia="zh-CN"/>
        </w:rPr>
        <w:t xml:space="preserve"> min,取上清液转入另一无菌</w:t>
      </w:r>
      <w:r>
        <w:rPr>
          <w:rFonts w:hint="eastAsia"/>
          <w:color w:val="000000"/>
          <w:sz w:val="21"/>
          <w:lang w:eastAsia="zh-CN"/>
        </w:rPr>
        <w:t>1.5</w:t>
      </w:r>
      <w:r>
        <w:rPr>
          <w:color w:val="000000"/>
          <w:sz w:val="21"/>
          <w:lang w:eastAsia="zh-CN"/>
        </w:rPr>
        <w:t xml:space="preserve"> mL离心管中，编号备用。</w:t>
      </w:r>
    </w:p>
    <w:p w14:paraId="03724F3A">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7.3</w:t>
      </w:r>
      <w:r>
        <w:rPr>
          <w:rFonts w:hint="eastAsia" w:ascii="黑体" w:hAnsi="黑体" w:eastAsia="黑体" w:cs="黑体"/>
          <w:color w:val="000000"/>
          <w:sz w:val="21"/>
          <w:lang w:val="en-US" w:eastAsia="zh-CN"/>
        </w:rPr>
        <w:t xml:space="preserve"> </w:t>
      </w:r>
      <w:r>
        <w:rPr>
          <w:rFonts w:ascii="黑体" w:hAnsi="黑体" w:eastAsia="黑体" w:cs="黑体"/>
          <w:color w:val="000000"/>
          <w:sz w:val="21"/>
          <w:lang w:eastAsia="zh-CN"/>
        </w:rPr>
        <w:t>样本的存放</w:t>
      </w:r>
    </w:p>
    <w:p w14:paraId="3B94CEF2">
      <w:pPr>
        <w:spacing w:line="360" w:lineRule="auto"/>
        <w:rPr>
          <w:color w:val="000000"/>
          <w:sz w:val="21"/>
          <w:lang w:eastAsia="zh-CN"/>
        </w:rPr>
      </w:pPr>
      <w:r>
        <w:rPr>
          <w:rFonts w:hint="eastAsia"/>
          <w:color w:val="000000"/>
          <w:sz w:val="21"/>
          <w:lang w:eastAsia="zh-CN"/>
        </w:rPr>
        <w:t xml:space="preserve">    </w:t>
      </w:r>
      <w:r>
        <w:rPr>
          <w:color w:val="000000"/>
          <w:sz w:val="21"/>
          <w:lang w:eastAsia="zh-CN"/>
        </w:rPr>
        <w:t>采集或处理的样本在2</w:t>
      </w:r>
      <w:r>
        <w:rPr>
          <w:rFonts w:hint="eastAsia"/>
          <w:color w:val="000000"/>
          <w:sz w:val="21"/>
          <w:lang w:eastAsia="zh-CN"/>
        </w:rPr>
        <w:t>〜</w:t>
      </w:r>
      <w:r>
        <w:rPr>
          <w:color w:val="000000"/>
          <w:sz w:val="21"/>
          <w:lang w:eastAsia="zh-CN"/>
        </w:rPr>
        <w:t>8</w:t>
      </w:r>
      <w:r>
        <w:rPr>
          <w:rFonts w:hint="eastAsia" w:ascii="宋体" w:hAnsi="宋体"/>
          <w:color w:val="000000"/>
          <w:sz w:val="21"/>
          <w:lang w:eastAsia="zh-CN"/>
        </w:rPr>
        <w:t>℃</w:t>
      </w:r>
      <w:r>
        <w:rPr>
          <w:color w:val="000000"/>
          <w:sz w:val="21"/>
          <w:lang w:eastAsia="zh-CN"/>
        </w:rPr>
        <w:t>条件下保存应不超过24 h</w:t>
      </w:r>
      <w:r>
        <w:rPr>
          <w:rFonts w:hint="eastAsia"/>
          <w:color w:val="000000"/>
          <w:sz w:val="21"/>
          <w:lang w:eastAsia="zh-CN"/>
        </w:rPr>
        <w:t>；</w:t>
      </w:r>
      <w:r>
        <w:rPr>
          <w:color w:val="000000"/>
          <w:sz w:val="21"/>
          <w:lang w:eastAsia="zh-CN"/>
        </w:rPr>
        <w:t>若需长期保存，须放置-80</w:t>
      </w:r>
      <w:r>
        <w:rPr>
          <w:rFonts w:hint="eastAsia" w:ascii="宋体" w:hAnsi="宋体"/>
          <w:color w:val="000000"/>
          <w:sz w:val="21"/>
          <w:lang w:eastAsia="zh-CN"/>
        </w:rPr>
        <w:t>℃</w:t>
      </w:r>
      <w:r>
        <w:rPr>
          <w:color w:val="000000"/>
          <w:sz w:val="21"/>
          <w:lang w:eastAsia="zh-CN"/>
        </w:rPr>
        <w:t>冰 箱，但应避免反复冻融(冻融不超过3次)。</w:t>
      </w:r>
    </w:p>
    <w:p w14:paraId="0ED41842">
      <w:pPr>
        <w:spacing w:line="360" w:lineRule="auto"/>
        <w:rPr>
          <w:rFonts w:ascii="黑体" w:hAnsi="黑体" w:eastAsia="黑体" w:cs="黑体"/>
          <w:color w:val="000000"/>
          <w:sz w:val="21"/>
          <w:lang w:eastAsia="zh-CN"/>
        </w:rPr>
      </w:pPr>
      <w:r>
        <w:rPr>
          <w:rFonts w:ascii="黑体" w:hAnsi="黑体" w:eastAsia="黑体" w:cs="黑体"/>
          <w:color w:val="000000"/>
          <w:sz w:val="21"/>
          <w:lang w:eastAsia="zh-CN"/>
        </w:rPr>
        <w:t>8</w:t>
      </w:r>
      <w:r>
        <w:rPr>
          <w:rFonts w:hint="eastAsia" w:ascii="黑体" w:hAnsi="黑体" w:eastAsia="黑体" w:cs="黑体"/>
          <w:color w:val="000000"/>
          <w:sz w:val="21"/>
          <w:lang w:val="en-US" w:eastAsia="zh-CN"/>
        </w:rPr>
        <w:t xml:space="preserve">  </w:t>
      </w:r>
      <w:r>
        <w:rPr>
          <w:rFonts w:hint="eastAsia" w:ascii="黑体" w:hAnsi="黑体" w:eastAsia="黑体" w:cs="黑体"/>
          <w:color w:val="000000"/>
          <w:sz w:val="21"/>
          <w:lang w:eastAsia="zh-CN"/>
        </w:rPr>
        <w:t>试验步骤</w:t>
      </w:r>
    </w:p>
    <w:p w14:paraId="0A1C7EEF">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8.1</w:t>
      </w:r>
      <w:r>
        <w:rPr>
          <w:rFonts w:hint="eastAsia" w:ascii="黑体" w:hAnsi="黑体" w:eastAsia="黑体" w:cs="黑体"/>
          <w:color w:val="000000"/>
          <w:sz w:val="21"/>
          <w:lang w:val="en-US" w:eastAsia="zh-CN"/>
        </w:rPr>
        <w:t xml:space="preserve"> </w:t>
      </w:r>
      <w:r>
        <w:rPr>
          <w:rFonts w:hint="eastAsia" w:ascii="黑体" w:hAnsi="黑体" w:eastAsia="黑体" w:cs="黑体"/>
          <w:color w:val="000000"/>
          <w:sz w:val="21"/>
          <w:lang w:eastAsia="zh-CN"/>
        </w:rPr>
        <w:t>样本核酸提取</w:t>
      </w:r>
    </w:p>
    <w:p w14:paraId="0A5F939F">
      <w:pPr>
        <w:spacing w:line="360" w:lineRule="auto"/>
        <w:rPr>
          <w:color w:val="000000"/>
          <w:sz w:val="21"/>
          <w:lang w:eastAsia="zh-CN"/>
        </w:rPr>
      </w:pPr>
      <w:r>
        <w:rPr>
          <w:rFonts w:hint="eastAsia"/>
          <w:color w:val="000000"/>
          <w:sz w:val="21"/>
          <w:lang w:eastAsia="zh-CN"/>
        </w:rPr>
        <w:t>8.1.1</w:t>
      </w:r>
      <w:r>
        <w:rPr>
          <w:rFonts w:hint="eastAsia"/>
          <w:color w:val="000000"/>
          <w:sz w:val="21"/>
          <w:lang w:val="en-US" w:eastAsia="zh-CN"/>
        </w:rPr>
        <w:t xml:space="preserve"> </w:t>
      </w:r>
      <w:r>
        <w:rPr>
          <w:rFonts w:hint="eastAsia"/>
          <w:color w:val="000000"/>
          <w:sz w:val="21"/>
          <w:lang w:eastAsia="zh-CN"/>
        </w:rPr>
        <w:t>在样本处理区进行。为防止</w:t>
      </w:r>
      <w:r>
        <w:rPr>
          <w:color w:val="000000"/>
          <w:sz w:val="21"/>
          <w:lang w:eastAsia="zh-CN"/>
        </w:rPr>
        <w:t>RNA</w:t>
      </w:r>
      <w:r>
        <w:rPr>
          <w:rFonts w:hint="eastAsia"/>
          <w:color w:val="000000"/>
          <w:sz w:val="21"/>
          <w:lang w:eastAsia="zh-CN"/>
        </w:rPr>
        <w:t>降解，所用试验用具及溶液应无</w:t>
      </w:r>
      <w:r>
        <w:rPr>
          <w:color w:val="000000"/>
          <w:sz w:val="21"/>
          <w:lang w:eastAsia="zh-CN"/>
        </w:rPr>
        <w:t>RNA</w:t>
      </w:r>
      <w:r>
        <w:rPr>
          <w:rFonts w:hint="eastAsia"/>
          <w:color w:val="000000"/>
          <w:sz w:val="21"/>
          <w:lang w:eastAsia="zh-CN"/>
        </w:rPr>
        <w:t>酶，操作过程中应佩戴一次性橡胶或乳胶手套。</w:t>
      </w:r>
    </w:p>
    <w:p w14:paraId="4D7D6306">
      <w:pPr>
        <w:spacing w:line="360" w:lineRule="auto"/>
        <w:rPr>
          <w:color w:val="000000"/>
          <w:sz w:val="21"/>
          <w:lang w:eastAsia="zh-CN"/>
        </w:rPr>
      </w:pPr>
      <w:r>
        <w:rPr>
          <w:rFonts w:hint="eastAsia"/>
          <w:color w:val="000000"/>
          <w:sz w:val="21"/>
          <w:lang w:eastAsia="zh-CN"/>
        </w:rPr>
        <w:t>8.1.2</w:t>
      </w:r>
      <w:r>
        <w:rPr>
          <w:rFonts w:hint="eastAsia"/>
          <w:color w:val="000000"/>
          <w:sz w:val="21"/>
          <w:lang w:val="en-US" w:eastAsia="zh-CN"/>
        </w:rPr>
        <w:t xml:space="preserve"> </w:t>
      </w:r>
      <w:r>
        <w:rPr>
          <w:rFonts w:hint="eastAsia"/>
          <w:color w:val="000000"/>
          <w:sz w:val="21"/>
          <w:lang w:eastAsia="zh-CN"/>
        </w:rPr>
        <w:t>取</w:t>
      </w:r>
      <w:r>
        <w:rPr>
          <w:color w:val="000000"/>
          <w:sz w:val="21"/>
          <w:lang w:eastAsia="zh-CN"/>
        </w:rPr>
        <w:t>200</w:t>
      </w:r>
      <w:r>
        <w:rPr>
          <w:rFonts w:hint="eastAsia"/>
          <w:color w:val="000000"/>
          <w:sz w:val="21"/>
          <w:lang w:eastAsia="zh-CN"/>
        </w:rPr>
        <w:t>µL病毒液或已处理好的样品加入到无</w:t>
      </w:r>
      <w:r>
        <w:rPr>
          <w:color w:val="000000"/>
          <w:sz w:val="21"/>
          <w:lang w:eastAsia="zh-CN"/>
        </w:rPr>
        <w:t>RNA</w:t>
      </w:r>
      <w:r>
        <w:rPr>
          <w:rFonts w:hint="eastAsia"/>
          <w:color w:val="000000"/>
          <w:sz w:val="21"/>
          <w:lang w:eastAsia="zh-CN"/>
        </w:rPr>
        <w:t>梅的</w:t>
      </w:r>
      <w:r>
        <w:rPr>
          <w:color w:val="000000"/>
          <w:sz w:val="21"/>
          <w:lang w:eastAsia="zh-CN"/>
        </w:rPr>
        <w:t>1.5 mL</w:t>
      </w:r>
      <w:r>
        <w:rPr>
          <w:rFonts w:hint="eastAsia"/>
          <w:color w:val="000000"/>
          <w:sz w:val="21"/>
          <w:lang w:eastAsia="zh-CN"/>
        </w:rPr>
        <w:t>离心管中，加入</w:t>
      </w:r>
      <w:r>
        <w:rPr>
          <w:color w:val="000000"/>
          <w:sz w:val="21"/>
          <w:lang w:eastAsia="zh-CN"/>
        </w:rPr>
        <w:t>600</w:t>
      </w:r>
      <w:r>
        <w:rPr>
          <w:rFonts w:hint="eastAsia"/>
          <w:color w:val="000000"/>
          <w:sz w:val="21"/>
          <w:lang w:eastAsia="zh-CN"/>
        </w:rPr>
        <w:t>µL</w:t>
      </w:r>
      <w:r>
        <w:rPr>
          <w:color w:val="000000"/>
          <w:sz w:val="21"/>
          <w:lang w:eastAsia="zh-CN"/>
        </w:rPr>
        <w:t xml:space="preserve">  Trizol </w:t>
      </w:r>
      <w:r>
        <w:rPr>
          <w:rFonts w:hint="eastAsia"/>
          <w:color w:val="000000"/>
          <w:sz w:val="21"/>
          <w:lang w:eastAsia="zh-CN"/>
        </w:rPr>
        <w:t>试剂，用旋涡振荡器剧烈振荡</w:t>
      </w:r>
      <w:r>
        <w:rPr>
          <w:color w:val="000000"/>
          <w:sz w:val="21"/>
          <w:lang w:eastAsia="zh-CN"/>
        </w:rPr>
        <w:t>15 s</w:t>
      </w:r>
      <w:r>
        <w:rPr>
          <w:rFonts w:hint="eastAsia"/>
          <w:color w:val="000000"/>
          <w:sz w:val="21"/>
          <w:lang w:eastAsia="zh-CN"/>
        </w:rPr>
        <w:t>后，室温放置</w:t>
      </w:r>
      <w:r>
        <w:rPr>
          <w:color w:val="000000"/>
          <w:sz w:val="21"/>
          <w:lang w:eastAsia="zh-CN"/>
        </w:rPr>
        <w:t>5 min</w:t>
      </w:r>
      <w:r>
        <w:rPr>
          <w:rFonts w:hint="eastAsia"/>
          <w:color w:val="000000"/>
          <w:sz w:val="21"/>
          <w:lang w:eastAsia="zh-CN"/>
        </w:rPr>
        <w:t>。</w:t>
      </w:r>
    </w:p>
    <w:p w14:paraId="6E64C25D">
      <w:pPr>
        <w:spacing w:line="360" w:lineRule="auto"/>
        <w:rPr>
          <w:color w:val="000000"/>
          <w:sz w:val="21"/>
          <w:lang w:eastAsia="zh-CN"/>
        </w:rPr>
      </w:pPr>
      <w:r>
        <w:rPr>
          <w:rFonts w:hint="eastAsia"/>
          <w:color w:val="000000"/>
          <w:sz w:val="21"/>
          <w:lang w:eastAsia="zh-CN"/>
        </w:rPr>
        <w:t>8.1.3</w:t>
      </w:r>
      <w:r>
        <w:rPr>
          <w:rFonts w:hint="eastAsia"/>
          <w:color w:val="000000"/>
          <w:sz w:val="21"/>
          <w:lang w:val="en-US" w:eastAsia="zh-CN"/>
        </w:rPr>
        <w:t xml:space="preserve"> </w:t>
      </w:r>
      <w:r>
        <w:rPr>
          <w:rFonts w:hint="eastAsia"/>
          <w:color w:val="000000"/>
          <w:sz w:val="21"/>
          <w:lang w:eastAsia="zh-CN"/>
        </w:rPr>
        <w:t>加入</w:t>
      </w:r>
      <w:r>
        <w:rPr>
          <w:color w:val="000000"/>
          <w:sz w:val="21"/>
          <w:lang w:eastAsia="zh-CN"/>
        </w:rPr>
        <w:t>200</w:t>
      </w:r>
      <w:r>
        <w:rPr>
          <w:rFonts w:hint="eastAsia"/>
          <w:color w:val="000000"/>
          <w:sz w:val="21"/>
          <w:lang w:eastAsia="zh-CN"/>
        </w:rPr>
        <w:t>µL三氯甲烷，用旋涡振荡器剧烈振荡</w:t>
      </w:r>
      <w:r>
        <w:rPr>
          <w:color w:val="000000"/>
          <w:sz w:val="21"/>
          <w:lang w:eastAsia="zh-CN"/>
        </w:rPr>
        <w:t>15 s</w:t>
      </w:r>
      <w:r>
        <w:rPr>
          <w:rFonts w:hint="eastAsia"/>
          <w:color w:val="000000"/>
          <w:sz w:val="21"/>
          <w:lang w:eastAsia="zh-CN"/>
        </w:rPr>
        <w:t>后室温放置</w:t>
      </w:r>
      <w:r>
        <w:rPr>
          <w:color w:val="000000"/>
          <w:sz w:val="21"/>
          <w:lang w:eastAsia="zh-CN"/>
        </w:rPr>
        <w:t>3 min</w:t>
      </w:r>
      <w:r>
        <w:rPr>
          <w:rFonts w:hint="eastAsia"/>
          <w:color w:val="000000"/>
          <w:sz w:val="21"/>
          <w:lang w:eastAsia="zh-CN"/>
        </w:rPr>
        <w:t>，</w:t>
      </w:r>
      <w:r>
        <w:rPr>
          <w:color w:val="000000"/>
          <w:sz w:val="21"/>
          <w:lang w:eastAsia="zh-CN"/>
        </w:rPr>
        <w:t>4</w:t>
      </w:r>
      <w:r>
        <w:rPr>
          <w:rFonts w:hint="eastAsia"/>
          <w:color w:val="000000"/>
          <w:sz w:val="21"/>
          <w:lang w:eastAsia="zh-CN"/>
        </w:rPr>
        <w:t>℃，</w:t>
      </w:r>
      <w:r>
        <w:rPr>
          <w:color w:val="000000"/>
          <w:sz w:val="21"/>
          <w:lang w:eastAsia="zh-CN"/>
        </w:rPr>
        <w:t xml:space="preserve"> 12 000 g</w:t>
      </w:r>
      <w:r>
        <w:rPr>
          <w:rFonts w:hint="eastAsia"/>
          <w:color w:val="000000"/>
          <w:sz w:val="21"/>
          <w:lang w:eastAsia="zh-CN"/>
        </w:rPr>
        <w:t>离心</w:t>
      </w:r>
      <w:r>
        <w:rPr>
          <w:color w:val="000000"/>
          <w:sz w:val="21"/>
          <w:lang w:eastAsia="zh-CN"/>
        </w:rPr>
        <w:t xml:space="preserve"> 15 </w:t>
      </w:r>
      <w:r>
        <w:rPr>
          <w:rFonts w:hint="eastAsia"/>
          <w:color w:val="000000"/>
          <w:sz w:val="21"/>
          <w:lang w:eastAsia="zh-CN"/>
        </w:rPr>
        <w:t>min。</w:t>
      </w:r>
    </w:p>
    <w:p w14:paraId="479472D8">
      <w:pPr>
        <w:spacing w:line="360" w:lineRule="auto"/>
        <w:rPr>
          <w:color w:val="000000"/>
          <w:sz w:val="21"/>
          <w:lang w:eastAsia="zh-CN"/>
        </w:rPr>
      </w:pPr>
      <w:r>
        <w:rPr>
          <w:rFonts w:hint="eastAsia"/>
          <w:color w:val="000000"/>
          <w:sz w:val="21"/>
          <w:lang w:eastAsia="zh-CN"/>
        </w:rPr>
        <w:t>8.1.4</w:t>
      </w:r>
      <w:r>
        <w:rPr>
          <w:rFonts w:hint="eastAsia"/>
          <w:color w:val="000000"/>
          <w:sz w:val="21"/>
          <w:lang w:val="en-US" w:eastAsia="zh-CN"/>
        </w:rPr>
        <w:t xml:space="preserve"> </w:t>
      </w:r>
      <w:r>
        <w:rPr>
          <w:rFonts w:hint="eastAsia"/>
          <w:color w:val="000000"/>
          <w:sz w:val="21"/>
          <w:lang w:eastAsia="zh-CN"/>
        </w:rPr>
        <w:t>吸取上清液转移至一个新的无</w:t>
      </w:r>
      <w:r>
        <w:rPr>
          <w:color w:val="000000"/>
          <w:sz w:val="21"/>
          <w:lang w:eastAsia="zh-CN"/>
        </w:rPr>
        <w:t>RNA</w:t>
      </w:r>
      <w:r>
        <w:rPr>
          <w:rFonts w:hint="eastAsia"/>
          <w:color w:val="000000"/>
          <w:sz w:val="21"/>
          <w:lang w:eastAsia="zh-CN"/>
        </w:rPr>
        <w:t>酶的</w:t>
      </w:r>
      <w:r>
        <w:rPr>
          <w:color w:val="000000"/>
          <w:sz w:val="21"/>
          <w:lang w:eastAsia="zh-CN"/>
        </w:rPr>
        <w:t>1.5 mL</w:t>
      </w:r>
      <w:r>
        <w:rPr>
          <w:rFonts w:hint="eastAsia"/>
          <w:color w:val="000000"/>
          <w:sz w:val="21"/>
          <w:lang w:eastAsia="zh-CN"/>
        </w:rPr>
        <w:t>离心管中，加入</w:t>
      </w:r>
      <w:r>
        <w:rPr>
          <w:color w:val="000000"/>
          <w:sz w:val="21"/>
          <w:lang w:eastAsia="zh-CN"/>
        </w:rPr>
        <w:t>500</w:t>
      </w:r>
      <w:r>
        <w:rPr>
          <w:rFonts w:hint="eastAsia"/>
          <w:color w:val="000000"/>
          <w:sz w:val="21"/>
          <w:lang w:eastAsia="zh-CN"/>
        </w:rPr>
        <w:t>µL异丙醇，上下颠倒混</w:t>
      </w:r>
      <w:r>
        <w:rPr>
          <w:color w:val="000000"/>
          <w:sz w:val="21"/>
          <w:lang w:eastAsia="zh-CN"/>
        </w:rPr>
        <w:t>匀，室温放置10 min。</w:t>
      </w:r>
    </w:p>
    <w:p w14:paraId="5B416DD3">
      <w:pPr>
        <w:spacing w:line="360" w:lineRule="auto"/>
        <w:rPr>
          <w:color w:val="000000"/>
          <w:sz w:val="21"/>
          <w:lang w:eastAsia="zh-CN"/>
        </w:rPr>
      </w:pPr>
      <w:r>
        <w:rPr>
          <w:rFonts w:hint="eastAsia"/>
          <w:color w:val="000000"/>
          <w:sz w:val="21"/>
          <w:lang w:eastAsia="zh-CN"/>
        </w:rPr>
        <w:t xml:space="preserve">8.1.5 </w:t>
      </w:r>
      <w:r>
        <w:rPr>
          <w:color w:val="000000"/>
          <w:sz w:val="21"/>
          <w:lang w:eastAsia="zh-CN"/>
        </w:rPr>
        <w:t xml:space="preserve">4 </w:t>
      </w:r>
      <w:r>
        <w:rPr>
          <w:rFonts w:hint="eastAsia" w:ascii="宋体" w:hAnsi="宋体"/>
          <w:color w:val="000000"/>
          <w:sz w:val="21"/>
          <w:lang w:eastAsia="zh-CN"/>
        </w:rPr>
        <w:t>℃</w:t>
      </w:r>
      <w:r>
        <w:rPr>
          <w:color w:val="000000"/>
          <w:sz w:val="21"/>
          <w:lang w:eastAsia="zh-CN"/>
        </w:rPr>
        <w:t>, 12 000 g离心15 min</w:t>
      </w:r>
      <w:r>
        <w:rPr>
          <w:rFonts w:hint="eastAsia"/>
          <w:color w:val="000000"/>
          <w:sz w:val="21"/>
          <w:lang w:eastAsia="zh-CN"/>
        </w:rPr>
        <w:t>，</w:t>
      </w:r>
      <w:r>
        <w:rPr>
          <w:color w:val="000000"/>
          <w:sz w:val="21"/>
          <w:lang w:eastAsia="zh-CN"/>
        </w:rPr>
        <w:t>弃上清液</w:t>
      </w:r>
      <w:r>
        <w:rPr>
          <w:rFonts w:hint="eastAsia"/>
          <w:color w:val="000000"/>
          <w:sz w:val="21"/>
          <w:lang w:eastAsia="zh-CN"/>
        </w:rPr>
        <w:t>，</w:t>
      </w:r>
      <w:r>
        <w:rPr>
          <w:color w:val="000000"/>
          <w:sz w:val="21"/>
          <w:lang w:eastAsia="zh-CN"/>
        </w:rPr>
        <w:t>将离心管倒置于吸水纸上,将液体去除。</w:t>
      </w:r>
    </w:p>
    <w:p w14:paraId="4F36FDE5">
      <w:pPr>
        <w:spacing w:line="360" w:lineRule="auto"/>
        <w:rPr>
          <w:color w:val="000000"/>
          <w:sz w:val="21"/>
          <w:lang w:eastAsia="zh-CN"/>
        </w:rPr>
      </w:pPr>
      <w:r>
        <w:rPr>
          <w:rFonts w:hint="eastAsia"/>
          <w:color w:val="000000"/>
          <w:sz w:val="21"/>
          <w:lang w:eastAsia="zh-CN"/>
        </w:rPr>
        <w:t xml:space="preserve">8.1.6 </w:t>
      </w:r>
      <w:r>
        <w:rPr>
          <w:color w:val="000000"/>
          <w:sz w:val="21"/>
          <w:lang w:eastAsia="zh-CN"/>
        </w:rPr>
        <w:t>加入1 000</w:t>
      </w:r>
      <w:r>
        <w:rPr>
          <w:rFonts w:ascii="Calibri" w:hAnsi="Calibri"/>
          <w:color w:val="000000"/>
          <w:sz w:val="21"/>
          <w:lang w:eastAsia="zh-CN"/>
        </w:rPr>
        <w:t>µ</w:t>
      </w:r>
      <w:r>
        <w:rPr>
          <w:rFonts w:hint="eastAsia"/>
          <w:color w:val="000000"/>
          <w:sz w:val="21"/>
          <w:lang w:eastAsia="zh-CN"/>
        </w:rPr>
        <w:t>L</w:t>
      </w:r>
      <w:r>
        <w:rPr>
          <w:color w:val="000000"/>
          <w:sz w:val="21"/>
          <w:lang w:eastAsia="zh-CN"/>
        </w:rPr>
        <w:t>预冷的75%</w:t>
      </w:r>
      <w:r>
        <w:rPr>
          <w:rFonts w:hint="eastAsia"/>
          <w:color w:val="000000"/>
          <w:sz w:val="21"/>
          <w:lang w:eastAsia="zh-CN"/>
        </w:rPr>
        <w:t>乙醇，</w:t>
      </w:r>
      <w:r>
        <w:rPr>
          <w:color w:val="000000"/>
          <w:sz w:val="21"/>
          <w:lang w:eastAsia="zh-CN"/>
        </w:rPr>
        <w:t>缓慢颠倒洗涤沉淀。</w:t>
      </w:r>
    </w:p>
    <w:p w14:paraId="2E044D12">
      <w:pPr>
        <w:spacing w:line="360" w:lineRule="auto"/>
        <w:rPr>
          <w:color w:val="000000"/>
          <w:sz w:val="21"/>
          <w:lang w:eastAsia="zh-CN"/>
        </w:rPr>
      </w:pPr>
      <w:r>
        <w:rPr>
          <w:rFonts w:hint="eastAsia"/>
          <w:color w:val="000000"/>
          <w:sz w:val="21"/>
          <w:lang w:eastAsia="zh-CN"/>
        </w:rPr>
        <w:t xml:space="preserve">8.1.7 </w:t>
      </w:r>
      <w:r>
        <w:rPr>
          <w:color w:val="000000"/>
          <w:sz w:val="21"/>
          <w:lang w:eastAsia="zh-CN"/>
        </w:rPr>
        <w:t xml:space="preserve">4 </w:t>
      </w:r>
      <w:r>
        <w:rPr>
          <w:rFonts w:hint="eastAsia" w:ascii="宋体" w:hAnsi="宋体"/>
          <w:color w:val="000000"/>
          <w:sz w:val="21"/>
          <w:lang w:eastAsia="zh-CN"/>
        </w:rPr>
        <w:t>℃</w:t>
      </w:r>
      <w:r>
        <w:rPr>
          <w:color w:val="000000"/>
          <w:sz w:val="21"/>
          <w:lang w:eastAsia="zh-CN"/>
        </w:rPr>
        <w:t>, 12 000 g离心15 min</w:t>
      </w:r>
      <w:r>
        <w:rPr>
          <w:rFonts w:hint="eastAsia"/>
          <w:color w:val="000000"/>
          <w:sz w:val="21"/>
          <w:lang w:eastAsia="zh-CN"/>
        </w:rPr>
        <w:t>，</w:t>
      </w:r>
      <w:r>
        <w:rPr>
          <w:color w:val="000000"/>
          <w:sz w:val="21"/>
          <w:lang w:eastAsia="zh-CN"/>
        </w:rPr>
        <w:t>弃上清液</w:t>
      </w:r>
      <w:r>
        <w:rPr>
          <w:rFonts w:hint="eastAsia"/>
          <w:color w:val="000000"/>
          <w:sz w:val="21"/>
          <w:lang w:eastAsia="zh-CN"/>
        </w:rPr>
        <w:t>，</w:t>
      </w:r>
      <w:r>
        <w:rPr>
          <w:color w:val="000000"/>
          <w:sz w:val="21"/>
          <w:lang w:eastAsia="zh-CN"/>
        </w:rPr>
        <w:t>将离心管倒置于吸水纸上</w:t>
      </w:r>
      <w:r>
        <w:rPr>
          <w:rFonts w:hint="eastAsia"/>
          <w:color w:val="000000"/>
          <w:sz w:val="21"/>
          <w:lang w:eastAsia="zh-CN"/>
        </w:rPr>
        <w:t>，</w:t>
      </w:r>
      <w:r>
        <w:rPr>
          <w:color w:val="000000"/>
          <w:sz w:val="21"/>
          <w:lang w:eastAsia="zh-CN"/>
        </w:rPr>
        <w:t>室温干燥沉淀5 min</w:t>
      </w:r>
      <w:r>
        <w:rPr>
          <w:rFonts w:hint="eastAsia"/>
          <w:color w:val="000000"/>
          <w:sz w:val="21"/>
          <w:lang w:eastAsia="zh-CN"/>
        </w:rPr>
        <w:t>〜</w:t>
      </w:r>
      <w:r>
        <w:rPr>
          <w:color w:val="000000"/>
          <w:sz w:val="21"/>
          <w:lang w:eastAsia="zh-CN"/>
        </w:rPr>
        <w:t xml:space="preserve"> 10 min。</w:t>
      </w:r>
    </w:p>
    <w:p w14:paraId="2C0253DF">
      <w:pPr>
        <w:spacing w:line="360" w:lineRule="auto"/>
        <w:rPr>
          <w:color w:val="000000"/>
          <w:sz w:val="21"/>
          <w:lang w:eastAsia="zh-CN"/>
        </w:rPr>
      </w:pPr>
      <w:r>
        <w:rPr>
          <w:rFonts w:hint="eastAsia"/>
          <w:color w:val="000000"/>
          <w:sz w:val="21"/>
          <w:lang w:eastAsia="zh-CN"/>
        </w:rPr>
        <w:t>8.1.8 加入20</w:t>
      </w:r>
      <w:r>
        <w:rPr>
          <w:rFonts w:ascii="Calibri" w:hAnsi="Calibri"/>
          <w:color w:val="000000"/>
          <w:sz w:val="21"/>
          <w:lang w:eastAsia="zh-CN"/>
        </w:rPr>
        <w:t>µ</w:t>
      </w:r>
      <w:r>
        <w:rPr>
          <w:rFonts w:hint="eastAsia"/>
          <w:color w:val="000000"/>
          <w:sz w:val="21"/>
          <w:lang w:eastAsia="zh-CN"/>
        </w:rPr>
        <w:t>L DEPC水，溶解沉淀后，室温孵育10min。提取的RNA应在2h内使用或-70</w:t>
      </w:r>
      <w:r>
        <w:rPr>
          <w:rFonts w:hint="eastAsia" w:ascii="宋体" w:hAnsi="宋体"/>
          <w:color w:val="000000"/>
          <w:sz w:val="21"/>
          <w:lang w:eastAsia="zh-CN"/>
        </w:rPr>
        <w:t>℃</w:t>
      </w:r>
      <w:r>
        <w:rPr>
          <w:rFonts w:hint="eastAsia"/>
          <w:color w:val="000000"/>
          <w:sz w:val="21"/>
          <w:lang w:eastAsia="zh-CN"/>
        </w:rPr>
        <w:t>冰箱保存备用。</w:t>
      </w:r>
    </w:p>
    <w:p w14:paraId="2D4D0EC5">
      <w:pPr>
        <w:spacing w:line="360" w:lineRule="auto"/>
        <w:rPr>
          <w:color w:val="000000"/>
          <w:sz w:val="21"/>
          <w:lang w:eastAsia="zh-CN"/>
        </w:rPr>
      </w:pPr>
      <w:r>
        <w:rPr>
          <w:rFonts w:hint="eastAsia"/>
          <w:color w:val="000000"/>
          <w:sz w:val="21"/>
          <w:lang w:eastAsia="zh-CN"/>
        </w:rPr>
        <w:t xml:space="preserve">8.1.9 </w:t>
      </w:r>
      <w:r>
        <w:rPr>
          <w:color w:val="000000"/>
          <w:sz w:val="21"/>
          <w:lang w:eastAsia="zh-CN"/>
        </w:rPr>
        <w:t>可采用同等效果的商业化RNA抽提试剂盒代替以上方法。</w:t>
      </w:r>
    </w:p>
    <w:p w14:paraId="28D6C38A">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8.2</w:t>
      </w:r>
      <w:r>
        <w:rPr>
          <w:rFonts w:hint="eastAsia" w:ascii="黑体" w:hAnsi="黑体" w:eastAsia="黑体" w:cs="黑体"/>
          <w:color w:val="000000"/>
          <w:sz w:val="21"/>
          <w:lang w:val="en-US" w:eastAsia="zh-CN"/>
        </w:rPr>
        <w:t xml:space="preserve"> </w:t>
      </w:r>
      <w:r>
        <w:rPr>
          <w:rFonts w:hint="eastAsia" w:ascii="黑体" w:hAnsi="黑体" w:eastAsia="黑体" w:cs="黑体"/>
          <w:color w:val="000000"/>
          <w:sz w:val="21"/>
          <w:lang w:eastAsia="zh-CN"/>
        </w:rPr>
        <w:t>逆转录</w:t>
      </w:r>
    </w:p>
    <w:p w14:paraId="23267068">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8.2.1</w:t>
      </w:r>
      <w:r>
        <w:rPr>
          <w:rFonts w:hint="eastAsia" w:ascii="黑体" w:hAnsi="黑体" w:eastAsia="黑体" w:cs="黑体"/>
          <w:color w:val="000000"/>
          <w:sz w:val="21"/>
          <w:lang w:val="en-US" w:eastAsia="zh-CN"/>
        </w:rPr>
        <w:t xml:space="preserve"> </w:t>
      </w:r>
      <w:r>
        <w:rPr>
          <w:rFonts w:hint="eastAsia" w:ascii="黑体" w:hAnsi="黑体" w:eastAsia="黑体" w:cs="黑体"/>
          <w:color w:val="000000"/>
          <w:sz w:val="21"/>
          <w:lang w:eastAsia="zh-CN"/>
        </w:rPr>
        <w:t>逆转录反应体系</w:t>
      </w:r>
    </w:p>
    <w:p w14:paraId="0F0BDCAF">
      <w:pPr>
        <w:spacing w:line="360" w:lineRule="auto"/>
        <w:ind w:firstLine="420" w:firstLineChars="200"/>
        <w:rPr>
          <w:color w:val="000000"/>
          <w:sz w:val="21"/>
          <w:lang w:eastAsia="zh-CN"/>
        </w:rPr>
      </w:pPr>
      <w:r>
        <w:rPr>
          <w:rFonts w:hint="eastAsia"/>
          <w:color w:val="000000"/>
          <w:sz w:val="21"/>
          <w:lang w:eastAsia="zh-CN"/>
        </w:rPr>
        <w:t>逆转录</w:t>
      </w:r>
      <w:r>
        <w:rPr>
          <w:color w:val="000000"/>
          <w:sz w:val="21"/>
          <w:lang w:eastAsia="zh-CN"/>
        </w:rPr>
        <w:t>反应体系见表</w:t>
      </w:r>
      <w:r>
        <w:rPr>
          <w:rFonts w:hint="eastAsia"/>
          <w:color w:val="000000"/>
          <w:sz w:val="21"/>
          <w:lang w:eastAsia="zh-CN"/>
        </w:rPr>
        <w:t>3，</w:t>
      </w:r>
      <w:r>
        <w:rPr>
          <w:color w:val="000000"/>
          <w:sz w:val="21"/>
          <w:lang w:eastAsia="zh-CN"/>
        </w:rPr>
        <w:t>每次反应同时设计阳性对照、阴性对照和空白对照。其中，以含有</w:t>
      </w:r>
      <w:r>
        <w:rPr>
          <w:rFonts w:hint="eastAsia"/>
          <w:color w:val="000000"/>
          <w:sz w:val="21"/>
          <w:lang w:eastAsia="zh-CN"/>
        </w:rPr>
        <w:t>小鼠轮状病毒的粪便样本或片段质粒（见附录）</w:t>
      </w:r>
      <w:r>
        <w:rPr>
          <w:color w:val="000000"/>
          <w:sz w:val="21"/>
          <w:lang w:eastAsia="zh-CN"/>
        </w:rPr>
        <w:t>作为阳性对照模板；以不含有</w:t>
      </w:r>
      <w:r>
        <w:rPr>
          <w:rFonts w:hint="eastAsia"/>
          <w:color w:val="000000"/>
          <w:sz w:val="21"/>
          <w:lang w:eastAsia="zh-CN"/>
        </w:rPr>
        <w:t>小鼠轮状</w:t>
      </w:r>
      <w:r>
        <w:rPr>
          <w:color w:val="000000"/>
          <w:sz w:val="21"/>
          <w:lang w:eastAsia="zh-CN"/>
        </w:rPr>
        <w:t>病毒</w:t>
      </w:r>
      <w:r>
        <w:rPr>
          <w:rFonts w:hint="eastAsia"/>
          <w:color w:val="000000"/>
          <w:sz w:val="21"/>
          <w:lang w:eastAsia="zh-CN"/>
        </w:rPr>
        <w:t>粪便</w:t>
      </w:r>
      <w:r>
        <w:rPr>
          <w:color w:val="000000"/>
          <w:sz w:val="21"/>
          <w:lang w:eastAsia="zh-CN"/>
        </w:rPr>
        <w:t>样本作为阴性对照模板；以DEPC水</w:t>
      </w:r>
      <w:r>
        <w:rPr>
          <w:rFonts w:hint="eastAsia"/>
          <w:color w:val="000000"/>
          <w:sz w:val="21"/>
          <w:lang w:eastAsia="zh-CN"/>
        </w:rPr>
        <w:t>作为</w:t>
      </w:r>
      <w:r>
        <w:rPr>
          <w:color w:val="000000"/>
          <w:sz w:val="21"/>
          <w:lang w:eastAsia="zh-CN"/>
        </w:rPr>
        <w:t>空白对照</w:t>
      </w:r>
      <w:r>
        <w:rPr>
          <w:rFonts w:hint="eastAsia"/>
          <w:color w:val="000000"/>
          <w:sz w:val="21"/>
          <w:lang w:eastAsia="zh-CN"/>
        </w:rPr>
        <w:t>。</w:t>
      </w:r>
      <w:r>
        <w:rPr>
          <w:color w:val="000000"/>
          <w:sz w:val="21"/>
          <w:lang w:eastAsia="zh-CN"/>
        </w:rPr>
        <w:t>若使用其他公司</w:t>
      </w:r>
      <w:r>
        <w:rPr>
          <w:rFonts w:hint="eastAsia"/>
          <w:color w:val="000000"/>
          <w:sz w:val="21"/>
          <w:lang w:eastAsia="zh-CN"/>
        </w:rPr>
        <w:t>逆转录</w:t>
      </w:r>
      <w:r>
        <w:rPr>
          <w:color w:val="000000"/>
          <w:sz w:val="21"/>
          <w:lang w:eastAsia="zh-CN"/>
        </w:rPr>
        <w:t>试剂，应按照其说明书规定的反应体系进行操作。</w:t>
      </w:r>
    </w:p>
    <w:p w14:paraId="071B0273">
      <w:pPr>
        <w:pStyle w:val="65"/>
        <w:ind w:left="3317"/>
        <w:rPr>
          <w:sz w:val="18"/>
          <w:szCs w:val="18"/>
        </w:rPr>
      </w:pPr>
      <w:r>
        <w:rPr>
          <w:sz w:val="18"/>
          <w:szCs w:val="18"/>
        </w:rPr>
        <w:t>表</w:t>
      </w:r>
      <w:r>
        <w:rPr>
          <w:rFonts w:hint="eastAsia"/>
          <w:sz w:val="18"/>
          <w:szCs w:val="18"/>
        </w:rPr>
        <w:t>3</w:t>
      </w:r>
      <w:r>
        <w:rPr>
          <w:sz w:val="18"/>
          <w:szCs w:val="18"/>
        </w:rPr>
        <w:t xml:space="preserve"> </w:t>
      </w:r>
      <w:r>
        <w:rPr>
          <w:rFonts w:hint="eastAsia"/>
          <w:sz w:val="18"/>
          <w:szCs w:val="18"/>
        </w:rPr>
        <w:t>逆转录</w:t>
      </w:r>
      <w:r>
        <w:rPr>
          <w:sz w:val="18"/>
          <w:szCs w:val="18"/>
        </w:rPr>
        <w:t>反应体系</w:t>
      </w:r>
    </w:p>
    <w:tbl>
      <w:tblPr>
        <w:tblStyle w:val="21"/>
        <w:tblW w:w="0" w:type="auto"/>
        <w:jc w:val="center"/>
        <w:tblLayout w:type="fixed"/>
        <w:tblCellMar>
          <w:top w:w="0" w:type="dxa"/>
          <w:left w:w="10" w:type="dxa"/>
          <w:bottom w:w="0" w:type="dxa"/>
          <w:right w:w="10" w:type="dxa"/>
        </w:tblCellMar>
      </w:tblPr>
      <w:tblGrid>
        <w:gridCol w:w="3595"/>
        <w:gridCol w:w="2515"/>
      </w:tblGrid>
      <w:tr w14:paraId="5D665C31">
        <w:tblPrEx>
          <w:tblCellMar>
            <w:top w:w="0" w:type="dxa"/>
            <w:left w:w="10" w:type="dxa"/>
            <w:bottom w:w="0" w:type="dxa"/>
            <w:right w:w="10" w:type="dxa"/>
          </w:tblCellMar>
        </w:tblPrEx>
        <w:trPr>
          <w:trHeight w:val="326" w:hRule="exact"/>
          <w:jc w:val="center"/>
        </w:trPr>
        <w:tc>
          <w:tcPr>
            <w:tcW w:w="3595" w:type="dxa"/>
            <w:tcBorders>
              <w:top w:val="single" w:color="auto" w:sz="4" w:space="0"/>
            </w:tcBorders>
            <w:shd w:val="clear" w:color="auto" w:fill="auto"/>
            <w:vAlign w:val="bottom"/>
          </w:tcPr>
          <w:p w14:paraId="6B12D01D">
            <w:pPr>
              <w:pStyle w:val="67"/>
              <w:spacing w:line="240" w:lineRule="auto"/>
              <w:ind w:left="2020" w:firstLine="0"/>
              <w:rPr>
                <w:sz w:val="15"/>
                <w:szCs w:val="15"/>
              </w:rPr>
            </w:pPr>
            <w:r>
              <w:rPr>
                <w:rFonts w:hint="eastAsia"/>
                <w:color w:val="000000"/>
                <w:sz w:val="15"/>
                <w:szCs w:val="15"/>
                <w:lang w:val="zh-CN" w:bidi="zh-CN"/>
              </w:rPr>
              <w:t>试剂</w:t>
            </w:r>
          </w:p>
        </w:tc>
        <w:tc>
          <w:tcPr>
            <w:tcW w:w="2515" w:type="dxa"/>
            <w:tcBorders>
              <w:top w:val="single" w:color="auto" w:sz="4" w:space="0"/>
            </w:tcBorders>
            <w:shd w:val="clear" w:color="auto" w:fill="auto"/>
            <w:vAlign w:val="bottom"/>
          </w:tcPr>
          <w:p w14:paraId="0AAEFD6B">
            <w:pPr>
              <w:pStyle w:val="67"/>
              <w:spacing w:line="240" w:lineRule="auto"/>
              <w:ind w:left="1220" w:firstLine="0"/>
              <w:rPr>
                <w:sz w:val="15"/>
                <w:szCs w:val="15"/>
              </w:rPr>
            </w:pPr>
            <w:r>
              <w:rPr>
                <w:rFonts w:hint="eastAsia"/>
                <w:color w:val="000000"/>
                <w:sz w:val="15"/>
                <w:szCs w:val="15"/>
                <w:lang w:val="zh-CN" w:bidi="zh-CN"/>
              </w:rPr>
              <w:t>用量</w:t>
            </w:r>
            <w:r>
              <w:rPr>
                <w:rFonts w:ascii="Times New Roman" w:hAnsi="Times New Roman" w:eastAsia="Times New Roman" w:cs="Times New Roman"/>
                <w:color w:val="000000"/>
                <w:sz w:val="15"/>
                <w:szCs w:val="15"/>
                <w:lang w:eastAsia="en-US" w:bidi="en-US"/>
              </w:rPr>
              <w:t>/fiL</w:t>
            </w:r>
          </w:p>
        </w:tc>
      </w:tr>
      <w:tr w14:paraId="43399752">
        <w:tblPrEx>
          <w:tblCellMar>
            <w:top w:w="0" w:type="dxa"/>
            <w:left w:w="10" w:type="dxa"/>
            <w:bottom w:w="0" w:type="dxa"/>
            <w:right w:w="10" w:type="dxa"/>
          </w:tblCellMar>
        </w:tblPrEx>
        <w:trPr>
          <w:trHeight w:val="360" w:hRule="exact"/>
          <w:jc w:val="center"/>
        </w:trPr>
        <w:tc>
          <w:tcPr>
            <w:tcW w:w="3595" w:type="dxa"/>
            <w:tcBorders>
              <w:top w:val="single" w:color="auto" w:sz="4" w:space="0"/>
            </w:tcBorders>
            <w:shd w:val="clear" w:color="auto" w:fill="auto"/>
            <w:vAlign w:val="center"/>
          </w:tcPr>
          <w:p w14:paraId="307D1B57">
            <w:pPr>
              <w:pStyle w:val="67"/>
              <w:spacing w:line="240" w:lineRule="auto"/>
              <w:ind w:firstLine="840"/>
              <w:rPr>
                <w:sz w:val="15"/>
                <w:szCs w:val="15"/>
              </w:rPr>
            </w:pPr>
            <w:r>
              <w:rPr>
                <w:rFonts w:ascii="Arial" w:hAnsi="Arial" w:cs="Arial"/>
                <w:color w:val="222222"/>
                <w:sz w:val="15"/>
                <w:szCs w:val="15"/>
              </w:rPr>
              <w:t>5X 反应缓冲液</w:t>
            </w:r>
          </w:p>
        </w:tc>
        <w:tc>
          <w:tcPr>
            <w:tcW w:w="2515" w:type="dxa"/>
            <w:tcBorders>
              <w:top w:val="single" w:color="auto" w:sz="4" w:space="0"/>
            </w:tcBorders>
            <w:shd w:val="clear" w:color="auto" w:fill="auto"/>
            <w:vAlign w:val="center"/>
          </w:tcPr>
          <w:p w14:paraId="660475D0">
            <w:pPr>
              <w:pStyle w:val="67"/>
              <w:spacing w:line="240" w:lineRule="auto"/>
              <w:ind w:left="1380" w:firstLine="0"/>
              <w:rPr>
                <w:sz w:val="15"/>
                <w:szCs w:val="15"/>
              </w:rPr>
            </w:pPr>
            <w:r>
              <w:rPr>
                <w:rFonts w:hint="eastAsia" w:ascii="Times New Roman" w:hAnsi="Times New Roman" w:cs="Times New Roman"/>
                <w:color w:val="000000"/>
                <w:sz w:val="15"/>
                <w:szCs w:val="15"/>
                <w:lang w:val="zh-CN" w:bidi="zh-CN"/>
              </w:rPr>
              <w:t>4</w:t>
            </w:r>
          </w:p>
        </w:tc>
      </w:tr>
      <w:tr w14:paraId="2ED91F1B">
        <w:tblPrEx>
          <w:tblCellMar>
            <w:top w:w="0" w:type="dxa"/>
            <w:left w:w="10" w:type="dxa"/>
            <w:bottom w:w="0" w:type="dxa"/>
            <w:right w:w="10" w:type="dxa"/>
          </w:tblCellMar>
        </w:tblPrEx>
        <w:trPr>
          <w:trHeight w:val="331" w:hRule="exact"/>
          <w:jc w:val="center"/>
        </w:trPr>
        <w:tc>
          <w:tcPr>
            <w:tcW w:w="3595" w:type="dxa"/>
            <w:shd w:val="clear" w:color="auto" w:fill="auto"/>
            <w:vAlign w:val="center"/>
          </w:tcPr>
          <w:p w14:paraId="5D620DF8">
            <w:pPr>
              <w:pStyle w:val="67"/>
              <w:spacing w:line="240" w:lineRule="auto"/>
              <w:ind w:firstLine="840"/>
              <w:rPr>
                <w:sz w:val="15"/>
                <w:szCs w:val="15"/>
              </w:rPr>
            </w:pPr>
            <w:r>
              <w:rPr>
                <w:rFonts w:ascii="Arial" w:hAnsi="Arial" w:cs="Arial"/>
                <w:color w:val="222222"/>
                <w:sz w:val="15"/>
                <w:szCs w:val="15"/>
              </w:rPr>
              <w:t>RevertAid 逆转录酶</w:t>
            </w:r>
          </w:p>
        </w:tc>
        <w:tc>
          <w:tcPr>
            <w:tcW w:w="2515" w:type="dxa"/>
            <w:shd w:val="clear" w:color="auto" w:fill="auto"/>
            <w:vAlign w:val="center"/>
          </w:tcPr>
          <w:p w14:paraId="1367421E">
            <w:pPr>
              <w:pStyle w:val="67"/>
              <w:spacing w:line="240" w:lineRule="auto"/>
              <w:ind w:left="1380" w:firstLine="0"/>
              <w:rPr>
                <w:sz w:val="15"/>
                <w:szCs w:val="15"/>
              </w:rPr>
            </w:pPr>
            <w:r>
              <w:rPr>
                <w:rFonts w:hint="eastAsia" w:ascii="Times New Roman" w:hAnsi="Times New Roman" w:cs="Times New Roman"/>
                <w:color w:val="000000"/>
                <w:sz w:val="15"/>
                <w:szCs w:val="15"/>
                <w:lang w:bidi="en-US"/>
              </w:rPr>
              <w:t>1</w:t>
            </w:r>
          </w:p>
        </w:tc>
      </w:tr>
      <w:tr w14:paraId="3373EE25">
        <w:tblPrEx>
          <w:tblCellMar>
            <w:top w:w="0" w:type="dxa"/>
            <w:left w:w="10" w:type="dxa"/>
            <w:bottom w:w="0" w:type="dxa"/>
            <w:right w:w="10" w:type="dxa"/>
          </w:tblCellMar>
        </w:tblPrEx>
        <w:trPr>
          <w:trHeight w:val="355" w:hRule="exact"/>
          <w:jc w:val="center"/>
        </w:trPr>
        <w:tc>
          <w:tcPr>
            <w:tcW w:w="3595" w:type="dxa"/>
            <w:shd w:val="clear" w:color="auto" w:fill="auto"/>
            <w:vAlign w:val="center"/>
          </w:tcPr>
          <w:p w14:paraId="66663A5B">
            <w:pPr>
              <w:pStyle w:val="67"/>
              <w:spacing w:line="240" w:lineRule="auto"/>
              <w:ind w:firstLine="840"/>
              <w:rPr>
                <w:sz w:val="15"/>
                <w:szCs w:val="15"/>
              </w:rPr>
            </w:pPr>
            <w:r>
              <w:rPr>
                <w:rFonts w:ascii="Arial" w:hAnsi="Arial" w:cs="Arial"/>
                <w:color w:val="222222"/>
                <w:sz w:val="15"/>
                <w:szCs w:val="15"/>
              </w:rPr>
              <w:t>RiboLock RNase 抑制剂</w:t>
            </w:r>
          </w:p>
        </w:tc>
        <w:tc>
          <w:tcPr>
            <w:tcW w:w="2515" w:type="dxa"/>
            <w:shd w:val="clear" w:color="auto" w:fill="auto"/>
            <w:vAlign w:val="center"/>
          </w:tcPr>
          <w:p w14:paraId="0BFE076A">
            <w:pPr>
              <w:pStyle w:val="67"/>
              <w:spacing w:line="240" w:lineRule="auto"/>
              <w:ind w:left="1380" w:firstLine="0"/>
              <w:rPr>
                <w:sz w:val="15"/>
                <w:szCs w:val="15"/>
              </w:rPr>
            </w:pPr>
            <w:r>
              <w:rPr>
                <w:rFonts w:hint="eastAsia" w:ascii="Times New Roman" w:hAnsi="Times New Roman" w:cs="Times New Roman"/>
                <w:color w:val="000000"/>
                <w:sz w:val="15"/>
                <w:szCs w:val="15"/>
                <w:lang w:bidi="en-US"/>
              </w:rPr>
              <w:t>1</w:t>
            </w:r>
          </w:p>
        </w:tc>
      </w:tr>
      <w:tr w14:paraId="3AB4AB59">
        <w:tblPrEx>
          <w:tblCellMar>
            <w:top w:w="0" w:type="dxa"/>
            <w:left w:w="10" w:type="dxa"/>
            <w:bottom w:w="0" w:type="dxa"/>
            <w:right w:w="10" w:type="dxa"/>
          </w:tblCellMar>
        </w:tblPrEx>
        <w:trPr>
          <w:trHeight w:val="341" w:hRule="exact"/>
          <w:jc w:val="center"/>
        </w:trPr>
        <w:tc>
          <w:tcPr>
            <w:tcW w:w="3595" w:type="dxa"/>
            <w:shd w:val="clear" w:color="auto" w:fill="auto"/>
            <w:vAlign w:val="center"/>
          </w:tcPr>
          <w:p w14:paraId="5AFA7860">
            <w:pPr>
              <w:pStyle w:val="67"/>
              <w:spacing w:line="240" w:lineRule="auto"/>
              <w:ind w:firstLine="840"/>
              <w:rPr>
                <w:sz w:val="15"/>
                <w:szCs w:val="15"/>
              </w:rPr>
            </w:pPr>
            <w:r>
              <w:rPr>
                <w:rFonts w:ascii="Arial" w:hAnsi="Arial" w:cs="Arial"/>
                <w:color w:val="222222"/>
                <w:sz w:val="15"/>
                <w:szCs w:val="15"/>
              </w:rPr>
              <w:t>随机引物</w:t>
            </w:r>
          </w:p>
        </w:tc>
        <w:tc>
          <w:tcPr>
            <w:tcW w:w="2515" w:type="dxa"/>
            <w:shd w:val="clear" w:color="auto" w:fill="auto"/>
            <w:vAlign w:val="center"/>
          </w:tcPr>
          <w:p w14:paraId="5C18BE4C">
            <w:pPr>
              <w:pStyle w:val="67"/>
              <w:spacing w:line="240" w:lineRule="auto"/>
              <w:ind w:left="1380" w:firstLine="0"/>
              <w:rPr>
                <w:sz w:val="15"/>
                <w:szCs w:val="15"/>
              </w:rPr>
            </w:pPr>
            <w:r>
              <w:rPr>
                <w:rFonts w:hint="eastAsia" w:ascii="Times New Roman" w:hAnsi="Times New Roman" w:cs="Times New Roman"/>
                <w:color w:val="000000"/>
                <w:sz w:val="15"/>
                <w:szCs w:val="15"/>
                <w:lang w:bidi="en-US"/>
              </w:rPr>
              <w:t>1</w:t>
            </w:r>
          </w:p>
        </w:tc>
      </w:tr>
      <w:tr w14:paraId="207121E5">
        <w:tblPrEx>
          <w:tblCellMar>
            <w:top w:w="0" w:type="dxa"/>
            <w:left w:w="10" w:type="dxa"/>
            <w:bottom w:w="0" w:type="dxa"/>
            <w:right w:w="10" w:type="dxa"/>
          </w:tblCellMar>
        </w:tblPrEx>
        <w:trPr>
          <w:trHeight w:val="341" w:hRule="exact"/>
          <w:jc w:val="center"/>
        </w:trPr>
        <w:tc>
          <w:tcPr>
            <w:tcW w:w="3595" w:type="dxa"/>
            <w:shd w:val="clear" w:color="auto" w:fill="auto"/>
            <w:vAlign w:val="center"/>
          </w:tcPr>
          <w:p w14:paraId="64B34F18">
            <w:pPr>
              <w:pStyle w:val="67"/>
              <w:spacing w:line="240" w:lineRule="auto"/>
              <w:ind w:firstLine="840"/>
              <w:rPr>
                <w:rFonts w:ascii="Arial" w:hAnsi="Arial" w:cs="Arial"/>
                <w:color w:val="222222"/>
                <w:sz w:val="15"/>
                <w:szCs w:val="15"/>
              </w:rPr>
            </w:pPr>
            <w:r>
              <w:rPr>
                <w:rFonts w:ascii="Arial" w:hAnsi="Arial" w:cs="Arial"/>
                <w:color w:val="222222"/>
                <w:sz w:val="15"/>
                <w:szCs w:val="15"/>
              </w:rPr>
              <w:t>dNTP 混合物</w:t>
            </w:r>
            <w:r>
              <w:rPr>
                <w:rFonts w:hint="eastAsia" w:ascii="Arial" w:hAnsi="Arial" w:cs="Arial"/>
                <w:color w:val="222222"/>
                <w:sz w:val="15"/>
                <w:szCs w:val="15"/>
              </w:rPr>
              <w:t>（10nM each）</w:t>
            </w:r>
          </w:p>
        </w:tc>
        <w:tc>
          <w:tcPr>
            <w:tcW w:w="2515" w:type="dxa"/>
            <w:shd w:val="clear" w:color="auto" w:fill="auto"/>
            <w:vAlign w:val="center"/>
          </w:tcPr>
          <w:p w14:paraId="3184FAD4">
            <w:pPr>
              <w:pStyle w:val="67"/>
              <w:spacing w:line="240" w:lineRule="auto"/>
              <w:ind w:left="1380" w:firstLine="0"/>
              <w:rPr>
                <w:rFonts w:ascii="Times New Roman" w:hAnsi="Times New Roman" w:cs="Times New Roman"/>
                <w:color w:val="000000"/>
                <w:sz w:val="15"/>
                <w:szCs w:val="15"/>
                <w:lang w:bidi="en-US"/>
              </w:rPr>
            </w:pPr>
            <w:r>
              <w:rPr>
                <w:rFonts w:hint="eastAsia" w:ascii="Times New Roman" w:hAnsi="Times New Roman" w:cs="Times New Roman"/>
                <w:color w:val="000000"/>
                <w:sz w:val="15"/>
                <w:szCs w:val="15"/>
                <w:lang w:bidi="en-US"/>
              </w:rPr>
              <w:t>2</w:t>
            </w:r>
          </w:p>
        </w:tc>
      </w:tr>
      <w:tr w14:paraId="70F9D3CF">
        <w:tblPrEx>
          <w:tblCellMar>
            <w:top w:w="0" w:type="dxa"/>
            <w:left w:w="10" w:type="dxa"/>
            <w:bottom w:w="0" w:type="dxa"/>
            <w:right w:w="10" w:type="dxa"/>
          </w:tblCellMar>
        </w:tblPrEx>
        <w:trPr>
          <w:trHeight w:val="341" w:hRule="exact"/>
          <w:jc w:val="center"/>
        </w:trPr>
        <w:tc>
          <w:tcPr>
            <w:tcW w:w="3595" w:type="dxa"/>
            <w:shd w:val="clear" w:color="auto" w:fill="auto"/>
            <w:vAlign w:val="center"/>
          </w:tcPr>
          <w:p w14:paraId="5EAFAD5E">
            <w:pPr>
              <w:pStyle w:val="67"/>
              <w:spacing w:line="240" w:lineRule="auto"/>
              <w:ind w:firstLine="840"/>
              <w:rPr>
                <w:rFonts w:ascii="Arial" w:hAnsi="Arial" w:cs="Arial"/>
                <w:color w:val="222222"/>
                <w:sz w:val="15"/>
                <w:szCs w:val="15"/>
              </w:rPr>
            </w:pPr>
            <w:r>
              <w:rPr>
                <w:rFonts w:ascii="Arial" w:hAnsi="Arial" w:cs="Arial"/>
                <w:color w:val="222222"/>
                <w:sz w:val="15"/>
                <w:szCs w:val="15"/>
              </w:rPr>
              <w:t>无核酸酶水</w:t>
            </w:r>
          </w:p>
        </w:tc>
        <w:tc>
          <w:tcPr>
            <w:tcW w:w="2515" w:type="dxa"/>
            <w:shd w:val="clear" w:color="auto" w:fill="auto"/>
            <w:vAlign w:val="center"/>
          </w:tcPr>
          <w:p w14:paraId="4E9CB61B">
            <w:pPr>
              <w:pStyle w:val="67"/>
              <w:spacing w:line="240" w:lineRule="auto"/>
              <w:ind w:left="1380" w:firstLine="0"/>
              <w:rPr>
                <w:rFonts w:ascii="Times New Roman" w:hAnsi="Times New Roman" w:cs="Times New Roman"/>
                <w:color w:val="000000"/>
                <w:sz w:val="15"/>
                <w:szCs w:val="15"/>
                <w:lang w:bidi="en-US"/>
              </w:rPr>
            </w:pPr>
            <w:r>
              <w:rPr>
                <w:rFonts w:hint="eastAsia" w:ascii="Times New Roman" w:hAnsi="Times New Roman" w:cs="Times New Roman"/>
                <w:color w:val="000000"/>
                <w:sz w:val="15"/>
                <w:szCs w:val="15"/>
                <w:lang w:bidi="en-US"/>
              </w:rPr>
              <w:t>3</w:t>
            </w:r>
          </w:p>
        </w:tc>
      </w:tr>
      <w:tr w14:paraId="4DD6D156">
        <w:tblPrEx>
          <w:tblCellMar>
            <w:top w:w="0" w:type="dxa"/>
            <w:left w:w="10" w:type="dxa"/>
            <w:bottom w:w="0" w:type="dxa"/>
            <w:right w:w="10" w:type="dxa"/>
          </w:tblCellMar>
        </w:tblPrEx>
        <w:trPr>
          <w:trHeight w:val="336" w:hRule="exact"/>
          <w:jc w:val="center"/>
        </w:trPr>
        <w:tc>
          <w:tcPr>
            <w:tcW w:w="3595" w:type="dxa"/>
            <w:shd w:val="clear" w:color="auto" w:fill="auto"/>
            <w:vAlign w:val="center"/>
          </w:tcPr>
          <w:p w14:paraId="3A8A507D">
            <w:pPr>
              <w:pStyle w:val="67"/>
              <w:spacing w:line="240" w:lineRule="auto"/>
              <w:ind w:firstLine="840"/>
              <w:rPr>
                <w:sz w:val="15"/>
                <w:szCs w:val="15"/>
              </w:rPr>
            </w:pPr>
            <w:r>
              <w:rPr>
                <w:rFonts w:hint="eastAsia" w:ascii="Times New Roman" w:hAnsi="Times New Roman" w:cs="Times New Roman"/>
                <w:color w:val="000000"/>
                <w:sz w:val="15"/>
                <w:szCs w:val="15"/>
                <w:lang w:bidi="en-US"/>
              </w:rPr>
              <w:t>R</w:t>
            </w:r>
            <w:r>
              <w:rPr>
                <w:rFonts w:ascii="Times New Roman" w:hAnsi="Times New Roman" w:eastAsia="Times New Roman" w:cs="Times New Roman"/>
                <w:color w:val="000000"/>
                <w:sz w:val="15"/>
                <w:szCs w:val="15"/>
                <w:lang w:eastAsia="en-US" w:bidi="en-US"/>
              </w:rPr>
              <w:t>NA</w:t>
            </w:r>
            <w:r>
              <w:rPr>
                <w:rFonts w:hint="eastAsia"/>
                <w:color w:val="000000"/>
                <w:sz w:val="15"/>
                <w:szCs w:val="15"/>
                <w:lang w:val="zh-CN" w:bidi="zh-CN"/>
              </w:rPr>
              <w:t>模板</w:t>
            </w:r>
          </w:p>
        </w:tc>
        <w:tc>
          <w:tcPr>
            <w:tcW w:w="2515" w:type="dxa"/>
            <w:shd w:val="clear" w:color="auto" w:fill="auto"/>
            <w:vAlign w:val="center"/>
          </w:tcPr>
          <w:p w14:paraId="645F7E39">
            <w:pPr>
              <w:pStyle w:val="67"/>
              <w:spacing w:line="240" w:lineRule="auto"/>
              <w:ind w:left="1380" w:firstLine="0"/>
              <w:rPr>
                <w:sz w:val="15"/>
                <w:szCs w:val="15"/>
              </w:rPr>
            </w:pPr>
            <w:r>
              <w:rPr>
                <w:rFonts w:hint="eastAsia" w:ascii="Times New Roman" w:hAnsi="Times New Roman" w:cs="Times New Roman"/>
                <w:color w:val="000000"/>
                <w:sz w:val="15"/>
                <w:szCs w:val="15"/>
                <w:lang w:val="zh-CN" w:bidi="zh-CN"/>
              </w:rPr>
              <w:t>8</w:t>
            </w:r>
          </w:p>
        </w:tc>
      </w:tr>
      <w:tr w14:paraId="3C0A0D3E">
        <w:tblPrEx>
          <w:tblCellMar>
            <w:top w:w="0" w:type="dxa"/>
            <w:left w:w="10" w:type="dxa"/>
            <w:bottom w:w="0" w:type="dxa"/>
            <w:right w:w="10" w:type="dxa"/>
          </w:tblCellMar>
        </w:tblPrEx>
        <w:trPr>
          <w:trHeight w:val="360" w:hRule="exact"/>
          <w:jc w:val="center"/>
        </w:trPr>
        <w:tc>
          <w:tcPr>
            <w:tcW w:w="3595" w:type="dxa"/>
            <w:tcBorders>
              <w:bottom w:val="single" w:color="auto" w:sz="4" w:space="0"/>
            </w:tcBorders>
            <w:shd w:val="clear" w:color="auto" w:fill="auto"/>
            <w:vAlign w:val="center"/>
          </w:tcPr>
          <w:p w14:paraId="7997D138">
            <w:pPr>
              <w:pStyle w:val="67"/>
              <w:spacing w:line="240" w:lineRule="auto"/>
              <w:ind w:firstLine="840"/>
              <w:rPr>
                <w:sz w:val="15"/>
                <w:szCs w:val="15"/>
              </w:rPr>
            </w:pPr>
            <w:r>
              <w:rPr>
                <w:rFonts w:hint="eastAsia"/>
                <w:color w:val="000000"/>
                <w:sz w:val="15"/>
                <w:szCs w:val="15"/>
                <w:lang w:val="zh-CN" w:bidi="zh-CN"/>
              </w:rPr>
              <w:t>总体积</w:t>
            </w:r>
          </w:p>
        </w:tc>
        <w:tc>
          <w:tcPr>
            <w:tcW w:w="2515" w:type="dxa"/>
            <w:tcBorders>
              <w:bottom w:val="single" w:color="auto" w:sz="4" w:space="0"/>
            </w:tcBorders>
            <w:shd w:val="clear" w:color="auto" w:fill="auto"/>
            <w:vAlign w:val="center"/>
          </w:tcPr>
          <w:p w14:paraId="158B9972">
            <w:pPr>
              <w:pStyle w:val="67"/>
              <w:spacing w:line="240" w:lineRule="auto"/>
              <w:ind w:left="1380" w:firstLine="0"/>
              <w:rPr>
                <w:sz w:val="15"/>
                <w:szCs w:val="15"/>
              </w:rPr>
            </w:pPr>
            <w:r>
              <w:rPr>
                <w:rFonts w:ascii="Times New Roman" w:hAnsi="Times New Roman" w:eastAsia="Times New Roman" w:cs="Times New Roman"/>
                <w:color w:val="000000"/>
                <w:sz w:val="15"/>
                <w:szCs w:val="15"/>
                <w:lang w:val="zh-CN" w:bidi="zh-CN"/>
              </w:rPr>
              <w:t>20</w:t>
            </w:r>
          </w:p>
        </w:tc>
      </w:tr>
    </w:tbl>
    <w:p w14:paraId="78A956FD">
      <w:pPr>
        <w:spacing w:line="360" w:lineRule="auto"/>
        <w:rPr>
          <w:color w:val="000000"/>
          <w:sz w:val="21"/>
          <w:lang w:eastAsia="zh-CN"/>
        </w:rPr>
      </w:pPr>
      <w:r>
        <w:rPr>
          <w:rFonts w:hint="eastAsia"/>
          <w:color w:val="000000"/>
          <w:sz w:val="21"/>
          <w:lang w:eastAsia="zh-CN"/>
        </w:rPr>
        <w:t>8.2.2 逆转录反应参数</w:t>
      </w:r>
    </w:p>
    <w:p w14:paraId="5CCF3177">
      <w:pPr>
        <w:spacing w:line="360" w:lineRule="auto"/>
        <w:rPr>
          <w:color w:val="000000"/>
          <w:sz w:val="21"/>
          <w:lang w:eastAsia="zh-CN"/>
        </w:rPr>
      </w:pPr>
      <w:r>
        <w:rPr>
          <w:rFonts w:hint="eastAsia"/>
          <w:color w:val="000000"/>
          <w:sz w:val="21"/>
          <w:lang w:eastAsia="zh-CN"/>
        </w:rPr>
        <w:t>逆转录反应参数见表4</w:t>
      </w:r>
    </w:p>
    <w:p w14:paraId="1CE625E6">
      <w:pPr>
        <w:spacing w:line="360" w:lineRule="auto"/>
        <w:rPr>
          <w:color w:val="000000"/>
          <w:sz w:val="21"/>
          <w:lang w:eastAsia="zh-CN"/>
        </w:rPr>
      </w:pPr>
    </w:p>
    <w:p w14:paraId="3EC23B81">
      <w:pPr>
        <w:pStyle w:val="65"/>
        <w:ind w:left="3317"/>
        <w:rPr>
          <w:sz w:val="18"/>
          <w:szCs w:val="18"/>
        </w:rPr>
      </w:pPr>
      <w:r>
        <w:rPr>
          <w:rFonts w:hint="eastAsia"/>
          <w:sz w:val="18"/>
          <w:szCs w:val="18"/>
        </w:rPr>
        <w:t>表4 逆转录反应参数</w:t>
      </w:r>
    </w:p>
    <w:tbl>
      <w:tblPr>
        <w:tblStyle w:val="21"/>
        <w:tblW w:w="0" w:type="auto"/>
        <w:jc w:val="center"/>
        <w:tblLayout w:type="fixed"/>
        <w:tblCellMar>
          <w:top w:w="0" w:type="dxa"/>
          <w:left w:w="10" w:type="dxa"/>
          <w:bottom w:w="0" w:type="dxa"/>
          <w:right w:w="10" w:type="dxa"/>
        </w:tblCellMar>
      </w:tblPr>
      <w:tblGrid>
        <w:gridCol w:w="3595"/>
        <w:gridCol w:w="2515"/>
        <w:gridCol w:w="2232"/>
      </w:tblGrid>
      <w:tr w14:paraId="0D1194FF">
        <w:tblPrEx>
          <w:tblCellMar>
            <w:top w:w="0" w:type="dxa"/>
            <w:left w:w="10" w:type="dxa"/>
            <w:bottom w:w="0" w:type="dxa"/>
            <w:right w:w="10" w:type="dxa"/>
          </w:tblCellMar>
        </w:tblPrEx>
        <w:trPr>
          <w:trHeight w:val="307" w:hRule="exact"/>
          <w:jc w:val="center"/>
        </w:trPr>
        <w:tc>
          <w:tcPr>
            <w:tcW w:w="3595" w:type="dxa"/>
            <w:tcBorders>
              <w:top w:val="single" w:color="auto" w:sz="4" w:space="0"/>
            </w:tcBorders>
            <w:shd w:val="clear" w:color="auto" w:fill="auto"/>
            <w:vAlign w:val="bottom"/>
          </w:tcPr>
          <w:p w14:paraId="4FD13C17">
            <w:pPr>
              <w:pStyle w:val="67"/>
              <w:tabs>
                <w:tab w:val="left" w:pos="2654"/>
              </w:tabs>
              <w:spacing w:line="240" w:lineRule="auto"/>
              <w:ind w:firstLine="840"/>
              <w:rPr>
                <w:sz w:val="15"/>
                <w:szCs w:val="15"/>
              </w:rPr>
            </w:pPr>
            <w:r>
              <w:rPr>
                <w:color w:val="000000"/>
                <w:sz w:val="15"/>
                <w:szCs w:val="15"/>
                <w:lang w:val="zh-CN" w:bidi="zh-CN"/>
              </w:rPr>
              <w:t>步骤</w:t>
            </w:r>
            <w:r>
              <w:rPr>
                <w:color w:val="000000"/>
                <w:sz w:val="15"/>
                <w:szCs w:val="15"/>
                <w:lang w:val="zh-CN" w:bidi="zh-CN"/>
              </w:rPr>
              <w:tab/>
            </w:r>
            <w:r>
              <w:rPr>
                <w:color w:val="000000"/>
                <w:sz w:val="15"/>
                <w:szCs w:val="15"/>
                <w:lang w:val="zh-CN" w:bidi="zh-CN"/>
              </w:rPr>
              <w:t>温度/</w:t>
            </w:r>
            <w:r>
              <w:rPr>
                <w:rFonts w:hint="eastAsia"/>
                <w:color w:val="000000"/>
                <w:sz w:val="15"/>
                <w:szCs w:val="15"/>
                <w:lang w:val="zh-CN" w:bidi="zh-CN"/>
              </w:rPr>
              <w:t>℃</w:t>
            </w:r>
          </w:p>
        </w:tc>
        <w:tc>
          <w:tcPr>
            <w:tcW w:w="2515" w:type="dxa"/>
            <w:tcBorders>
              <w:top w:val="single" w:color="auto" w:sz="4" w:space="0"/>
            </w:tcBorders>
            <w:shd w:val="clear" w:color="auto" w:fill="auto"/>
            <w:vAlign w:val="bottom"/>
          </w:tcPr>
          <w:p w14:paraId="7E06151E">
            <w:pPr>
              <w:pStyle w:val="67"/>
              <w:spacing w:line="240" w:lineRule="auto"/>
              <w:ind w:left="1280" w:firstLine="0"/>
              <w:rPr>
                <w:sz w:val="15"/>
                <w:szCs w:val="15"/>
              </w:rPr>
            </w:pPr>
            <w:r>
              <w:rPr>
                <w:color w:val="000000"/>
                <w:sz w:val="15"/>
                <w:szCs w:val="15"/>
                <w:lang w:val="zh-CN" w:bidi="zh-CN"/>
              </w:rPr>
              <w:t>时间</w:t>
            </w:r>
          </w:p>
        </w:tc>
        <w:tc>
          <w:tcPr>
            <w:tcW w:w="2232" w:type="dxa"/>
            <w:tcBorders>
              <w:top w:val="single" w:color="auto" w:sz="4" w:space="0"/>
            </w:tcBorders>
            <w:shd w:val="clear" w:color="auto" w:fill="auto"/>
            <w:vAlign w:val="bottom"/>
          </w:tcPr>
          <w:p w14:paraId="59D71398">
            <w:pPr>
              <w:pStyle w:val="67"/>
              <w:spacing w:line="240" w:lineRule="auto"/>
              <w:ind w:firstLine="0"/>
              <w:jc w:val="center"/>
              <w:rPr>
                <w:sz w:val="15"/>
                <w:szCs w:val="15"/>
              </w:rPr>
            </w:pPr>
            <w:r>
              <w:rPr>
                <w:color w:val="000000"/>
                <w:sz w:val="15"/>
                <w:szCs w:val="15"/>
                <w:lang w:val="zh-CN" w:bidi="zh-CN"/>
              </w:rPr>
              <w:t>循环数</w:t>
            </w:r>
          </w:p>
        </w:tc>
      </w:tr>
      <w:tr w14:paraId="2F1EE1B8">
        <w:tblPrEx>
          <w:tblCellMar>
            <w:top w:w="0" w:type="dxa"/>
            <w:left w:w="10" w:type="dxa"/>
            <w:bottom w:w="0" w:type="dxa"/>
            <w:right w:w="10" w:type="dxa"/>
          </w:tblCellMar>
        </w:tblPrEx>
        <w:trPr>
          <w:trHeight w:val="355" w:hRule="exact"/>
          <w:jc w:val="center"/>
        </w:trPr>
        <w:tc>
          <w:tcPr>
            <w:tcW w:w="3595" w:type="dxa"/>
            <w:tcBorders>
              <w:top w:val="single" w:color="auto" w:sz="4" w:space="0"/>
            </w:tcBorders>
            <w:shd w:val="clear" w:color="auto" w:fill="auto"/>
            <w:vAlign w:val="center"/>
          </w:tcPr>
          <w:p w14:paraId="33BFB32A">
            <w:pPr>
              <w:pStyle w:val="67"/>
              <w:tabs>
                <w:tab w:val="left" w:pos="2899"/>
              </w:tabs>
              <w:spacing w:line="240" w:lineRule="auto"/>
              <w:ind w:firstLine="840"/>
              <w:rPr>
                <w:sz w:val="15"/>
                <w:szCs w:val="15"/>
              </w:rPr>
            </w:pPr>
            <w:r>
              <w:rPr>
                <w:rFonts w:hint="eastAsia"/>
                <w:sz w:val="15"/>
                <w:szCs w:val="15"/>
              </w:rPr>
              <w:t>1</w:t>
            </w:r>
            <w:r>
              <w:rPr>
                <w:sz w:val="15"/>
                <w:szCs w:val="15"/>
              </w:rPr>
              <w:tab/>
            </w:r>
            <w:r>
              <w:rPr>
                <w:rFonts w:hint="eastAsia"/>
                <w:sz w:val="15"/>
                <w:szCs w:val="15"/>
              </w:rPr>
              <w:t>25</w:t>
            </w:r>
          </w:p>
        </w:tc>
        <w:tc>
          <w:tcPr>
            <w:tcW w:w="2515" w:type="dxa"/>
            <w:tcBorders>
              <w:top w:val="single" w:color="auto" w:sz="4" w:space="0"/>
            </w:tcBorders>
            <w:shd w:val="clear" w:color="auto" w:fill="auto"/>
            <w:vAlign w:val="center"/>
          </w:tcPr>
          <w:p w14:paraId="6B775B9D">
            <w:pPr>
              <w:pStyle w:val="67"/>
              <w:spacing w:line="240" w:lineRule="auto"/>
              <w:ind w:left="1280" w:firstLine="0"/>
              <w:rPr>
                <w:sz w:val="15"/>
                <w:szCs w:val="15"/>
              </w:rPr>
            </w:pPr>
            <w:r>
              <w:rPr>
                <w:sz w:val="15"/>
                <w:szCs w:val="15"/>
              </w:rPr>
              <w:t>5 min</w:t>
            </w:r>
          </w:p>
        </w:tc>
        <w:tc>
          <w:tcPr>
            <w:tcW w:w="2232" w:type="dxa"/>
            <w:tcBorders>
              <w:top w:val="single" w:color="auto" w:sz="4" w:space="0"/>
            </w:tcBorders>
            <w:shd w:val="clear" w:color="auto" w:fill="auto"/>
            <w:vAlign w:val="center"/>
          </w:tcPr>
          <w:p w14:paraId="162CA26F">
            <w:pPr>
              <w:pStyle w:val="67"/>
              <w:spacing w:line="240" w:lineRule="auto"/>
              <w:ind w:firstLine="1000"/>
              <w:jc w:val="both"/>
              <w:rPr>
                <w:sz w:val="15"/>
                <w:szCs w:val="15"/>
              </w:rPr>
            </w:pPr>
            <w:r>
              <w:rPr>
                <w:sz w:val="15"/>
                <w:szCs w:val="15"/>
              </w:rPr>
              <w:t>1</w:t>
            </w:r>
          </w:p>
        </w:tc>
      </w:tr>
      <w:tr w14:paraId="63CC2FED">
        <w:tblPrEx>
          <w:tblCellMar>
            <w:top w:w="0" w:type="dxa"/>
            <w:left w:w="10" w:type="dxa"/>
            <w:bottom w:w="0" w:type="dxa"/>
            <w:right w:w="10" w:type="dxa"/>
          </w:tblCellMar>
        </w:tblPrEx>
        <w:trPr>
          <w:trHeight w:val="350" w:hRule="exact"/>
          <w:jc w:val="center"/>
        </w:trPr>
        <w:tc>
          <w:tcPr>
            <w:tcW w:w="3595" w:type="dxa"/>
            <w:shd w:val="clear" w:color="auto" w:fill="auto"/>
            <w:vAlign w:val="center"/>
          </w:tcPr>
          <w:p w14:paraId="2662841A">
            <w:pPr>
              <w:pStyle w:val="67"/>
              <w:tabs>
                <w:tab w:val="left" w:pos="2904"/>
              </w:tabs>
              <w:spacing w:line="240" w:lineRule="auto"/>
              <w:ind w:firstLine="840"/>
              <w:rPr>
                <w:sz w:val="15"/>
                <w:szCs w:val="15"/>
              </w:rPr>
            </w:pPr>
            <w:r>
              <w:rPr>
                <w:rFonts w:hint="eastAsia"/>
                <w:sz w:val="15"/>
                <w:szCs w:val="15"/>
              </w:rPr>
              <w:t>2</w:t>
            </w:r>
            <w:r>
              <w:rPr>
                <w:sz w:val="15"/>
                <w:szCs w:val="15"/>
              </w:rPr>
              <w:tab/>
            </w:r>
            <w:r>
              <w:rPr>
                <w:rFonts w:hint="eastAsia"/>
                <w:sz w:val="15"/>
                <w:szCs w:val="15"/>
              </w:rPr>
              <w:t>42</w:t>
            </w:r>
          </w:p>
        </w:tc>
        <w:tc>
          <w:tcPr>
            <w:tcW w:w="2515" w:type="dxa"/>
            <w:shd w:val="clear" w:color="auto" w:fill="auto"/>
            <w:vAlign w:val="center"/>
          </w:tcPr>
          <w:p w14:paraId="5F8DA6E3">
            <w:pPr>
              <w:pStyle w:val="67"/>
              <w:spacing w:line="240" w:lineRule="auto"/>
              <w:ind w:left="1280" w:firstLine="0"/>
              <w:rPr>
                <w:sz w:val="15"/>
                <w:szCs w:val="15"/>
              </w:rPr>
            </w:pPr>
            <w:r>
              <w:rPr>
                <w:rFonts w:hint="eastAsia"/>
                <w:sz w:val="15"/>
                <w:szCs w:val="15"/>
              </w:rPr>
              <w:t>60min</w:t>
            </w:r>
          </w:p>
        </w:tc>
        <w:tc>
          <w:tcPr>
            <w:tcW w:w="2232" w:type="dxa"/>
            <w:shd w:val="clear" w:color="auto" w:fill="auto"/>
            <w:vAlign w:val="center"/>
          </w:tcPr>
          <w:p w14:paraId="32203382">
            <w:pPr>
              <w:pStyle w:val="67"/>
              <w:spacing w:line="240" w:lineRule="auto"/>
              <w:ind w:firstLine="1000"/>
              <w:rPr>
                <w:sz w:val="15"/>
                <w:szCs w:val="15"/>
              </w:rPr>
            </w:pPr>
            <w:r>
              <w:rPr>
                <w:rFonts w:hint="eastAsia"/>
                <w:sz w:val="15"/>
                <w:szCs w:val="15"/>
              </w:rPr>
              <w:t>1</w:t>
            </w:r>
          </w:p>
        </w:tc>
      </w:tr>
      <w:tr w14:paraId="7C53E265">
        <w:tblPrEx>
          <w:tblCellMar>
            <w:top w:w="0" w:type="dxa"/>
            <w:left w:w="10" w:type="dxa"/>
            <w:bottom w:w="0" w:type="dxa"/>
            <w:right w:w="10" w:type="dxa"/>
          </w:tblCellMar>
        </w:tblPrEx>
        <w:trPr>
          <w:trHeight w:val="350" w:hRule="exact"/>
          <w:jc w:val="center"/>
        </w:trPr>
        <w:tc>
          <w:tcPr>
            <w:tcW w:w="3595" w:type="dxa"/>
            <w:tcBorders>
              <w:bottom w:val="single" w:color="auto" w:sz="4" w:space="0"/>
            </w:tcBorders>
            <w:shd w:val="clear" w:color="auto" w:fill="auto"/>
            <w:vAlign w:val="center"/>
          </w:tcPr>
          <w:p w14:paraId="7C7EB1B6">
            <w:pPr>
              <w:pStyle w:val="67"/>
              <w:tabs>
                <w:tab w:val="left" w:pos="2904"/>
              </w:tabs>
              <w:spacing w:line="240" w:lineRule="auto"/>
              <w:ind w:firstLine="840"/>
              <w:rPr>
                <w:sz w:val="15"/>
                <w:szCs w:val="15"/>
              </w:rPr>
            </w:pPr>
            <w:r>
              <w:rPr>
                <w:rFonts w:hint="eastAsia"/>
                <w:sz w:val="15"/>
                <w:szCs w:val="15"/>
              </w:rPr>
              <w:t>3</w:t>
            </w:r>
            <w:r>
              <w:rPr>
                <w:sz w:val="15"/>
                <w:szCs w:val="15"/>
              </w:rPr>
              <w:tab/>
            </w:r>
            <w:r>
              <w:rPr>
                <w:rFonts w:hint="eastAsia"/>
                <w:sz w:val="15"/>
                <w:szCs w:val="15"/>
              </w:rPr>
              <w:t>70</w:t>
            </w:r>
          </w:p>
        </w:tc>
        <w:tc>
          <w:tcPr>
            <w:tcW w:w="2515" w:type="dxa"/>
            <w:tcBorders>
              <w:bottom w:val="single" w:color="auto" w:sz="4" w:space="0"/>
            </w:tcBorders>
            <w:shd w:val="clear" w:color="auto" w:fill="auto"/>
            <w:vAlign w:val="center"/>
          </w:tcPr>
          <w:p w14:paraId="2779D9C4">
            <w:pPr>
              <w:pStyle w:val="67"/>
              <w:spacing w:line="240" w:lineRule="auto"/>
              <w:ind w:firstLine="1000"/>
              <w:rPr>
                <w:sz w:val="15"/>
                <w:szCs w:val="15"/>
              </w:rPr>
            </w:pPr>
            <w:r>
              <w:rPr>
                <w:rFonts w:hint="eastAsia"/>
                <w:sz w:val="15"/>
                <w:szCs w:val="15"/>
              </w:rPr>
              <w:t xml:space="preserve">    5min</w:t>
            </w:r>
          </w:p>
        </w:tc>
        <w:tc>
          <w:tcPr>
            <w:tcW w:w="2232" w:type="dxa"/>
            <w:tcBorders>
              <w:bottom w:val="single" w:color="auto" w:sz="4" w:space="0"/>
            </w:tcBorders>
            <w:shd w:val="clear" w:color="auto" w:fill="auto"/>
          </w:tcPr>
          <w:p w14:paraId="2957D980">
            <w:pPr>
              <w:ind w:firstLine="1000"/>
              <w:rPr>
                <w:rFonts w:ascii="宋体" w:hAnsi="宋体" w:cs="宋体"/>
                <w:sz w:val="15"/>
                <w:szCs w:val="15"/>
                <w:lang w:eastAsia="zh-CN" w:bidi="ar-SA"/>
              </w:rPr>
            </w:pPr>
            <w:r>
              <w:rPr>
                <w:rFonts w:hint="eastAsia" w:ascii="宋体" w:hAnsi="宋体" w:cs="宋体"/>
                <w:sz w:val="15"/>
                <w:szCs w:val="15"/>
                <w:lang w:eastAsia="zh-CN" w:bidi="ar-SA"/>
              </w:rPr>
              <w:t>1</w:t>
            </w:r>
          </w:p>
        </w:tc>
      </w:tr>
    </w:tbl>
    <w:p w14:paraId="7252E3AD">
      <w:pPr>
        <w:pStyle w:val="65"/>
        <w:ind w:left="14"/>
      </w:pPr>
      <w:r>
        <w:rPr>
          <w:rFonts w:hint="eastAsia"/>
          <w:color w:val="000000"/>
        </w:rPr>
        <w:t>注：可使用其他等效的</w:t>
      </w:r>
      <w:r>
        <w:rPr>
          <w:rFonts w:hint="eastAsia" w:ascii="Times New Roman" w:hAnsi="Times New Roman" w:cs="Times New Roman"/>
          <w:color w:val="000000"/>
          <w:lang w:val="en-US" w:bidi="en-US"/>
        </w:rPr>
        <w:t>逆转录</w:t>
      </w:r>
      <w:r>
        <w:rPr>
          <w:rFonts w:hint="eastAsia"/>
          <w:color w:val="000000"/>
        </w:rPr>
        <w:t>试剂盒进行，反应体系和反应参数可进行相应调整。</w:t>
      </w:r>
    </w:p>
    <w:p w14:paraId="3D9B2805">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8.3</w:t>
      </w:r>
      <w:r>
        <w:rPr>
          <w:rFonts w:hint="eastAsia" w:ascii="黑体" w:hAnsi="黑体" w:eastAsia="黑体" w:cs="黑体"/>
          <w:color w:val="000000"/>
          <w:sz w:val="21"/>
          <w:lang w:val="en-US" w:eastAsia="zh-CN"/>
        </w:rPr>
        <w:t xml:space="preserve"> </w:t>
      </w:r>
      <w:r>
        <w:rPr>
          <w:rFonts w:hint="eastAsia" w:ascii="黑体" w:hAnsi="黑体" w:eastAsia="黑体" w:cs="黑体"/>
          <w:color w:val="000000"/>
          <w:sz w:val="21"/>
          <w:lang w:eastAsia="zh-CN"/>
        </w:rPr>
        <w:t>普通</w:t>
      </w:r>
      <w:r>
        <w:rPr>
          <w:rFonts w:ascii="黑体" w:hAnsi="黑体" w:eastAsia="黑体" w:cs="黑体"/>
          <w:color w:val="000000"/>
          <w:sz w:val="21"/>
          <w:lang w:eastAsia="zh-CN"/>
        </w:rPr>
        <w:t>PCR</w:t>
      </w:r>
    </w:p>
    <w:p w14:paraId="7CF04C91">
      <w:pPr>
        <w:spacing w:line="360" w:lineRule="auto"/>
        <w:rPr>
          <w:rFonts w:hint="default" w:ascii="Times New Roman" w:hAnsi="Times New Roman" w:eastAsia="宋体" w:cs="Times New Roman"/>
          <w:color w:val="000000"/>
          <w:sz w:val="21"/>
          <w:lang w:eastAsia="zh-CN"/>
        </w:rPr>
      </w:pPr>
      <w:r>
        <w:rPr>
          <w:rFonts w:hint="default" w:ascii="Times New Roman" w:hAnsi="Times New Roman" w:eastAsia="宋体" w:cs="Times New Roman"/>
          <w:color w:val="000000"/>
          <w:sz w:val="21"/>
          <w:lang w:eastAsia="zh-CN"/>
        </w:rPr>
        <w:t>8.3.1</w:t>
      </w:r>
      <w:r>
        <w:rPr>
          <w:rFonts w:hint="default" w:ascii="Times New Roman" w:hAnsi="Times New Roman" w:eastAsia="宋体" w:cs="Times New Roman"/>
          <w:color w:val="000000"/>
          <w:sz w:val="21"/>
          <w:lang w:val="en-US" w:eastAsia="zh-CN"/>
        </w:rPr>
        <w:t xml:space="preserve"> </w:t>
      </w:r>
      <w:r>
        <w:rPr>
          <w:rFonts w:hint="default" w:ascii="Times New Roman" w:hAnsi="Times New Roman" w:eastAsia="宋体" w:cs="Times New Roman"/>
          <w:color w:val="000000"/>
          <w:sz w:val="21"/>
          <w:lang w:eastAsia="zh-CN"/>
        </w:rPr>
        <w:t>普通PCR反应体系</w:t>
      </w:r>
    </w:p>
    <w:p w14:paraId="71E4595F">
      <w:pPr>
        <w:spacing w:line="360" w:lineRule="auto"/>
        <w:rPr>
          <w:sz w:val="21"/>
          <w:lang w:eastAsia="zh-CN"/>
        </w:rPr>
      </w:pPr>
      <w:r>
        <w:rPr>
          <w:rFonts w:hint="eastAsia"/>
          <w:color w:val="000000"/>
          <w:sz w:val="21"/>
          <w:lang w:eastAsia="zh-CN"/>
        </w:rPr>
        <w:t xml:space="preserve">   </w:t>
      </w:r>
      <w:r>
        <w:rPr>
          <w:rFonts w:hint="eastAsia"/>
          <w:sz w:val="21"/>
          <w:lang w:eastAsia="zh-CN"/>
        </w:rPr>
        <w:t xml:space="preserve"> 普通</w:t>
      </w:r>
      <w:r>
        <w:rPr>
          <w:sz w:val="21"/>
          <w:lang w:eastAsia="zh-CN"/>
        </w:rPr>
        <w:t>PCR</w:t>
      </w:r>
      <w:r>
        <w:rPr>
          <w:rFonts w:hint="eastAsia"/>
          <w:sz w:val="21"/>
          <w:lang w:eastAsia="zh-CN"/>
        </w:rPr>
        <w:t>反应体系见表5。若使用公司</w:t>
      </w:r>
      <w:r>
        <w:rPr>
          <w:sz w:val="21"/>
          <w:lang w:eastAsia="zh-CN"/>
        </w:rPr>
        <w:t>PCR</w:t>
      </w:r>
      <w:r>
        <w:rPr>
          <w:rFonts w:hint="eastAsia"/>
          <w:sz w:val="21"/>
          <w:lang w:eastAsia="zh-CN"/>
        </w:rPr>
        <w:t>试剂，应按照其说明书规定的反应体系进行操作。</w:t>
      </w:r>
    </w:p>
    <w:tbl>
      <w:tblPr>
        <w:tblStyle w:val="21"/>
        <w:tblW w:w="0" w:type="auto"/>
        <w:jc w:val="center"/>
        <w:tblLayout w:type="fixed"/>
        <w:tblCellMar>
          <w:top w:w="0" w:type="dxa"/>
          <w:left w:w="10" w:type="dxa"/>
          <w:bottom w:w="0" w:type="dxa"/>
          <w:right w:w="10" w:type="dxa"/>
        </w:tblCellMar>
      </w:tblPr>
      <w:tblGrid>
        <w:gridCol w:w="3312"/>
        <w:gridCol w:w="1982"/>
        <w:gridCol w:w="2866"/>
      </w:tblGrid>
      <w:tr w14:paraId="14085888">
        <w:tblPrEx>
          <w:tblCellMar>
            <w:top w:w="0" w:type="dxa"/>
            <w:left w:w="10" w:type="dxa"/>
            <w:bottom w:w="0" w:type="dxa"/>
            <w:right w:w="10" w:type="dxa"/>
          </w:tblCellMar>
        </w:tblPrEx>
        <w:trPr>
          <w:trHeight w:val="274" w:hRule="exact"/>
          <w:jc w:val="center"/>
        </w:trPr>
        <w:tc>
          <w:tcPr>
            <w:tcW w:w="3312" w:type="dxa"/>
            <w:tcBorders>
              <w:bottom w:val="single" w:color="auto" w:sz="4" w:space="0"/>
            </w:tcBorders>
            <w:shd w:val="clear" w:color="auto" w:fill="auto"/>
          </w:tcPr>
          <w:p w14:paraId="5BB6C085">
            <w:pPr>
              <w:pStyle w:val="67"/>
              <w:spacing w:line="240" w:lineRule="auto"/>
              <w:ind w:firstLine="0"/>
              <w:jc w:val="right"/>
              <w:rPr>
                <w:sz w:val="17"/>
                <w:szCs w:val="17"/>
              </w:rPr>
            </w:pPr>
            <w:r>
              <w:rPr>
                <w:rFonts w:hint="eastAsia"/>
                <w:sz w:val="18"/>
                <w:szCs w:val="18"/>
                <w:lang w:val="zh-CN" w:bidi="zh-CN"/>
              </w:rPr>
              <w:t>表</w:t>
            </w:r>
            <w:r>
              <w:rPr>
                <w:rFonts w:hint="eastAsia" w:ascii="Times New Roman" w:hAnsi="Times New Roman" w:cs="Times New Roman"/>
                <w:b/>
                <w:bCs/>
                <w:sz w:val="17"/>
                <w:szCs w:val="17"/>
                <w:lang w:val="zh-CN" w:bidi="zh-CN"/>
              </w:rPr>
              <w:t>5</w:t>
            </w:r>
          </w:p>
        </w:tc>
        <w:tc>
          <w:tcPr>
            <w:tcW w:w="1982" w:type="dxa"/>
            <w:tcBorders>
              <w:bottom w:val="single" w:color="auto" w:sz="4" w:space="0"/>
            </w:tcBorders>
            <w:shd w:val="clear" w:color="auto" w:fill="auto"/>
          </w:tcPr>
          <w:p w14:paraId="57A071F6">
            <w:pPr>
              <w:pStyle w:val="67"/>
              <w:spacing w:line="240" w:lineRule="auto"/>
              <w:ind w:firstLine="0"/>
              <w:rPr>
                <w:sz w:val="18"/>
                <w:szCs w:val="18"/>
              </w:rPr>
            </w:pPr>
            <w:r>
              <w:rPr>
                <w:rFonts w:hint="eastAsia"/>
                <w:sz w:val="18"/>
                <w:szCs w:val="18"/>
                <w:lang w:val="zh-CN" w:bidi="zh-CN"/>
              </w:rPr>
              <w:t xml:space="preserve"> 普通</w:t>
            </w:r>
            <w:r>
              <w:rPr>
                <w:rFonts w:ascii="Times New Roman" w:hAnsi="Times New Roman" w:eastAsia="Times New Roman" w:cs="Times New Roman"/>
                <w:b/>
                <w:bCs/>
                <w:sz w:val="17"/>
                <w:szCs w:val="17"/>
                <w:lang w:bidi="en-US"/>
              </w:rPr>
              <w:t>PCR</w:t>
            </w:r>
            <w:r>
              <w:rPr>
                <w:rFonts w:hint="eastAsia"/>
                <w:sz w:val="18"/>
                <w:szCs w:val="18"/>
                <w:lang w:val="zh-CN" w:bidi="zh-CN"/>
              </w:rPr>
              <w:t>反应体系</w:t>
            </w:r>
          </w:p>
        </w:tc>
        <w:tc>
          <w:tcPr>
            <w:tcW w:w="2866" w:type="dxa"/>
            <w:tcBorders>
              <w:bottom w:val="single" w:color="auto" w:sz="4" w:space="0"/>
            </w:tcBorders>
            <w:shd w:val="clear" w:color="auto" w:fill="auto"/>
          </w:tcPr>
          <w:p w14:paraId="7997986A">
            <w:pPr>
              <w:rPr>
                <w:sz w:val="10"/>
                <w:szCs w:val="10"/>
                <w:lang w:eastAsia="zh-CN"/>
              </w:rPr>
            </w:pPr>
          </w:p>
        </w:tc>
      </w:tr>
      <w:tr w14:paraId="103229BB">
        <w:tblPrEx>
          <w:tblCellMar>
            <w:top w:w="0" w:type="dxa"/>
            <w:left w:w="10" w:type="dxa"/>
            <w:bottom w:w="0" w:type="dxa"/>
            <w:right w:w="10" w:type="dxa"/>
          </w:tblCellMar>
        </w:tblPrEx>
        <w:trPr>
          <w:trHeight w:val="307" w:hRule="exact"/>
          <w:jc w:val="center"/>
        </w:trPr>
        <w:tc>
          <w:tcPr>
            <w:tcW w:w="3312" w:type="dxa"/>
            <w:tcBorders>
              <w:top w:val="single" w:color="auto" w:sz="4" w:space="0"/>
              <w:bottom w:val="single" w:color="auto" w:sz="4" w:space="0"/>
            </w:tcBorders>
            <w:shd w:val="clear" w:color="auto" w:fill="auto"/>
            <w:vAlign w:val="bottom"/>
          </w:tcPr>
          <w:p w14:paraId="23AD1216">
            <w:pPr>
              <w:pStyle w:val="67"/>
              <w:spacing w:line="240" w:lineRule="auto"/>
              <w:ind w:firstLine="0"/>
              <w:jc w:val="center"/>
              <w:rPr>
                <w:sz w:val="15"/>
                <w:szCs w:val="15"/>
              </w:rPr>
            </w:pPr>
            <w:r>
              <w:rPr>
                <w:rFonts w:hint="eastAsia"/>
                <w:sz w:val="15"/>
                <w:szCs w:val="15"/>
                <w:lang w:val="zh-CN" w:bidi="zh-CN"/>
              </w:rPr>
              <w:t>反应组分</w:t>
            </w:r>
          </w:p>
        </w:tc>
        <w:tc>
          <w:tcPr>
            <w:tcW w:w="1982" w:type="dxa"/>
            <w:tcBorders>
              <w:top w:val="single" w:color="auto" w:sz="4" w:space="0"/>
              <w:bottom w:val="single" w:color="auto" w:sz="4" w:space="0"/>
            </w:tcBorders>
            <w:shd w:val="clear" w:color="auto" w:fill="auto"/>
            <w:vAlign w:val="bottom"/>
          </w:tcPr>
          <w:p w14:paraId="79620479">
            <w:pPr>
              <w:pStyle w:val="67"/>
              <w:spacing w:line="240" w:lineRule="auto"/>
              <w:ind w:firstLine="0"/>
              <w:jc w:val="center"/>
              <w:rPr>
                <w:sz w:val="15"/>
                <w:szCs w:val="15"/>
              </w:rPr>
            </w:pPr>
            <w:r>
              <w:rPr>
                <w:rFonts w:hint="eastAsia"/>
                <w:bCs/>
                <w:sz w:val="15"/>
                <w:szCs w:val="15"/>
                <w:lang w:val="zh-CN" w:bidi="zh-CN"/>
              </w:rPr>
              <w:t>用量</w:t>
            </w:r>
            <w:r>
              <w:rPr>
                <w:rFonts w:ascii="Times New Roman" w:hAnsi="Times New Roman" w:eastAsia="Times New Roman" w:cs="Times New Roman"/>
                <w:bCs/>
                <w:sz w:val="15"/>
                <w:szCs w:val="15"/>
                <w:lang w:eastAsia="en-US" w:bidi="en-US"/>
              </w:rPr>
              <w:t>/</w:t>
            </w:r>
            <w:r>
              <w:rPr>
                <w:rFonts w:ascii="Book Antiqua" w:hAnsi="Book Antiqua" w:eastAsia="Times New Roman" w:cs="Times New Roman"/>
                <w:bCs/>
                <w:sz w:val="15"/>
                <w:szCs w:val="15"/>
                <w:lang w:eastAsia="en-US" w:bidi="en-US"/>
              </w:rPr>
              <w:t>µ</w:t>
            </w:r>
            <w:r>
              <w:rPr>
                <w:rFonts w:ascii="Times New Roman" w:hAnsi="Times New Roman" w:eastAsia="Times New Roman" w:cs="Times New Roman"/>
                <w:bCs/>
                <w:sz w:val="15"/>
                <w:szCs w:val="15"/>
                <w:lang w:eastAsia="en-US" w:bidi="en-US"/>
              </w:rPr>
              <w:t>L</w:t>
            </w:r>
          </w:p>
        </w:tc>
        <w:tc>
          <w:tcPr>
            <w:tcW w:w="2866" w:type="dxa"/>
            <w:tcBorders>
              <w:top w:val="single" w:color="auto" w:sz="4" w:space="0"/>
              <w:bottom w:val="single" w:color="auto" w:sz="4" w:space="0"/>
            </w:tcBorders>
            <w:shd w:val="clear" w:color="auto" w:fill="auto"/>
            <w:vAlign w:val="bottom"/>
          </w:tcPr>
          <w:p w14:paraId="3A6FEF9C">
            <w:pPr>
              <w:pStyle w:val="67"/>
              <w:spacing w:line="240" w:lineRule="auto"/>
              <w:ind w:firstLine="0"/>
              <w:jc w:val="center"/>
              <w:rPr>
                <w:sz w:val="15"/>
                <w:szCs w:val="15"/>
              </w:rPr>
            </w:pPr>
            <w:r>
              <w:rPr>
                <w:rFonts w:hint="eastAsia"/>
                <w:sz w:val="15"/>
                <w:szCs w:val="15"/>
                <w:lang w:val="zh-CN" w:bidi="zh-CN"/>
              </w:rPr>
              <w:t>终浓度</w:t>
            </w:r>
          </w:p>
        </w:tc>
      </w:tr>
      <w:tr w14:paraId="7307E0B6">
        <w:tblPrEx>
          <w:tblCellMar>
            <w:top w:w="0" w:type="dxa"/>
            <w:left w:w="10" w:type="dxa"/>
            <w:bottom w:w="0" w:type="dxa"/>
            <w:right w:w="10" w:type="dxa"/>
          </w:tblCellMar>
        </w:tblPrEx>
        <w:trPr>
          <w:trHeight w:val="303" w:hRule="exact"/>
          <w:jc w:val="center"/>
        </w:trPr>
        <w:tc>
          <w:tcPr>
            <w:tcW w:w="3312" w:type="dxa"/>
            <w:tcBorders>
              <w:top w:val="single" w:color="auto" w:sz="4" w:space="0"/>
            </w:tcBorders>
            <w:shd w:val="clear" w:color="auto" w:fill="auto"/>
            <w:vAlign w:val="center"/>
          </w:tcPr>
          <w:p w14:paraId="3A763EA4">
            <w:pPr>
              <w:pStyle w:val="67"/>
              <w:spacing w:line="240" w:lineRule="auto"/>
              <w:ind w:firstLine="0"/>
              <w:jc w:val="center"/>
              <w:rPr>
                <w:rFonts w:ascii="Times New Roman" w:hAnsi="Times New Roman" w:cs="Times New Roman"/>
                <w:sz w:val="15"/>
                <w:szCs w:val="15"/>
                <w:lang w:bidi="zh-CN"/>
              </w:rPr>
            </w:pPr>
            <w:r>
              <w:rPr>
                <w:rFonts w:hint="eastAsia"/>
                <w:sz w:val="15"/>
                <w:szCs w:val="15"/>
              </w:rPr>
              <w:t xml:space="preserve">dNTPs Mixture </w:t>
            </w:r>
            <w:r>
              <w:rPr>
                <w:rFonts w:cs="Times New Roman"/>
                <w:sz w:val="15"/>
                <w:szCs w:val="15"/>
              </w:rPr>
              <w:t>（</w:t>
            </w:r>
            <w:r>
              <w:rPr>
                <w:rFonts w:hint="eastAsia" w:cs="Times New Roman"/>
                <w:sz w:val="15"/>
                <w:szCs w:val="15"/>
              </w:rPr>
              <w:t>10</w:t>
            </w:r>
            <w:r>
              <w:rPr>
                <w:rFonts w:cs="Times New Roman"/>
                <w:sz w:val="15"/>
                <w:szCs w:val="15"/>
              </w:rPr>
              <w:t>mmol/L）</w:t>
            </w:r>
          </w:p>
        </w:tc>
        <w:tc>
          <w:tcPr>
            <w:tcW w:w="1982" w:type="dxa"/>
            <w:tcBorders>
              <w:top w:val="single" w:color="auto" w:sz="4" w:space="0"/>
            </w:tcBorders>
            <w:shd w:val="clear" w:color="auto" w:fill="auto"/>
            <w:vAlign w:val="center"/>
          </w:tcPr>
          <w:p w14:paraId="128C478B">
            <w:pPr>
              <w:pStyle w:val="67"/>
              <w:spacing w:line="240" w:lineRule="auto"/>
              <w:ind w:firstLine="780"/>
              <w:rPr>
                <w:rFonts w:ascii="Times New Roman" w:hAnsi="Times New Roman" w:cs="Times New Roman"/>
                <w:sz w:val="15"/>
                <w:szCs w:val="15"/>
                <w:lang w:val="zh-CN" w:bidi="zh-CN"/>
              </w:rPr>
            </w:pPr>
            <w:r>
              <w:rPr>
                <w:rFonts w:hint="eastAsia" w:ascii="Times New Roman" w:hAnsi="Times New Roman" w:cs="Times New Roman"/>
                <w:sz w:val="15"/>
                <w:szCs w:val="15"/>
                <w:lang w:val="zh-CN" w:bidi="zh-CN"/>
              </w:rPr>
              <w:t>2</w:t>
            </w:r>
          </w:p>
        </w:tc>
        <w:tc>
          <w:tcPr>
            <w:tcW w:w="2866" w:type="dxa"/>
            <w:tcBorders>
              <w:top w:val="single" w:color="auto" w:sz="4" w:space="0"/>
            </w:tcBorders>
            <w:shd w:val="clear" w:color="auto" w:fill="auto"/>
            <w:vAlign w:val="center"/>
          </w:tcPr>
          <w:p w14:paraId="03F8E0C3">
            <w:pPr>
              <w:pStyle w:val="67"/>
              <w:spacing w:line="240" w:lineRule="auto"/>
              <w:ind w:firstLine="780"/>
              <w:jc w:val="both"/>
              <w:rPr>
                <w:rFonts w:ascii="Times New Roman" w:hAnsi="Times New Roman" w:cs="Times New Roman"/>
                <w:sz w:val="15"/>
                <w:szCs w:val="15"/>
                <w:lang w:val="zh-CN" w:bidi="zh-CN"/>
              </w:rPr>
            </w:pPr>
            <w:r>
              <w:rPr>
                <w:rFonts w:ascii="Times New Roman" w:hAnsi="Times New Roman" w:cs="Times New Roman"/>
                <w:sz w:val="15"/>
                <w:szCs w:val="15"/>
                <w:lang w:val="zh-CN" w:bidi="zh-CN"/>
              </w:rPr>
              <w:t>1X</w:t>
            </w:r>
          </w:p>
        </w:tc>
      </w:tr>
      <w:tr w14:paraId="62E8AFD2">
        <w:tblPrEx>
          <w:tblCellMar>
            <w:top w:w="0" w:type="dxa"/>
            <w:left w:w="10" w:type="dxa"/>
            <w:bottom w:w="0" w:type="dxa"/>
            <w:right w:w="10" w:type="dxa"/>
          </w:tblCellMar>
        </w:tblPrEx>
        <w:trPr>
          <w:trHeight w:val="279" w:hRule="exact"/>
          <w:jc w:val="center"/>
        </w:trPr>
        <w:tc>
          <w:tcPr>
            <w:tcW w:w="3312" w:type="dxa"/>
            <w:shd w:val="clear" w:color="auto" w:fill="auto"/>
            <w:vAlign w:val="center"/>
          </w:tcPr>
          <w:p w14:paraId="1A6CC4D2">
            <w:pPr>
              <w:pStyle w:val="67"/>
              <w:spacing w:line="240" w:lineRule="auto"/>
              <w:ind w:firstLine="0"/>
              <w:jc w:val="center"/>
              <w:rPr>
                <w:rFonts w:cs="GBK_S"/>
                <w:sz w:val="15"/>
                <w:szCs w:val="15"/>
              </w:rPr>
            </w:pPr>
            <w:r>
              <w:rPr>
                <w:rFonts w:hint="eastAsia"/>
                <w:sz w:val="15"/>
                <w:szCs w:val="15"/>
              </w:rPr>
              <w:t>10×PCR Buffer（Mg</w:t>
            </w:r>
            <w:r>
              <w:rPr>
                <w:rFonts w:hint="eastAsia"/>
                <w:sz w:val="15"/>
                <w:szCs w:val="15"/>
                <w:vertAlign w:val="superscript"/>
              </w:rPr>
              <w:t>2+</w:t>
            </w:r>
            <w:r>
              <w:rPr>
                <w:rFonts w:hint="eastAsia"/>
                <w:sz w:val="15"/>
                <w:szCs w:val="15"/>
              </w:rPr>
              <w:t xml:space="preserve"> plus）</w:t>
            </w:r>
          </w:p>
        </w:tc>
        <w:tc>
          <w:tcPr>
            <w:tcW w:w="1982" w:type="dxa"/>
            <w:shd w:val="clear" w:color="auto" w:fill="auto"/>
            <w:vAlign w:val="center"/>
          </w:tcPr>
          <w:p w14:paraId="09C58AB0">
            <w:pPr>
              <w:pStyle w:val="67"/>
              <w:spacing w:line="240" w:lineRule="auto"/>
              <w:ind w:firstLine="780"/>
              <w:rPr>
                <w:rFonts w:ascii="Times New Roman" w:hAnsi="Times New Roman" w:cs="Times New Roman"/>
                <w:sz w:val="15"/>
                <w:szCs w:val="15"/>
                <w:lang w:val="zh-CN" w:bidi="zh-CN"/>
              </w:rPr>
            </w:pPr>
            <w:r>
              <w:rPr>
                <w:rFonts w:hint="eastAsia" w:ascii="Times New Roman" w:hAnsi="Times New Roman" w:cs="Times New Roman"/>
                <w:sz w:val="15"/>
                <w:szCs w:val="15"/>
                <w:lang w:val="zh-CN" w:bidi="zh-CN"/>
              </w:rPr>
              <w:t>2.5</w:t>
            </w:r>
          </w:p>
        </w:tc>
        <w:tc>
          <w:tcPr>
            <w:tcW w:w="2866" w:type="dxa"/>
            <w:shd w:val="clear" w:color="auto" w:fill="auto"/>
            <w:vAlign w:val="center"/>
          </w:tcPr>
          <w:p w14:paraId="7E51786E">
            <w:pPr>
              <w:pStyle w:val="67"/>
              <w:spacing w:line="240" w:lineRule="auto"/>
              <w:ind w:firstLine="780"/>
              <w:jc w:val="both"/>
              <w:rPr>
                <w:rFonts w:ascii="Times New Roman" w:hAnsi="Times New Roman" w:cs="Times New Roman"/>
                <w:sz w:val="15"/>
                <w:szCs w:val="15"/>
                <w:lang w:val="zh-CN" w:bidi="zh-CN"/>
              </w:rPr>
            </w:pPr>
            <w:r>
              <w:rPr>
                <w:rFonts w:ascii="Times New Roman" w:hAnsi="Times New Roman" w:cs="Times New Roman"/>
                <w:sz w:val="15"/>
                <w:szCs w:val="15"/>
                <w:lang w:val="zh-CN" w:bidi="zh-CN"/>
              </w:rPr>
              <w:t>1X</w:t>
            </w:r>
          </w:p>
        </w:tc>
      </w:tr>
      <w:tr w14:paraId="14E15605">
        <w:tblPrEx>
          <w:tblCellMar>
            <w:top w:w="0" w:type="dxa"/>
            <w:left w:w="10" w:type="dxa"/>
            <w:bottom w:w="0" w:type="dxa"/>
            <w:right w:w="10" w:type="dxa"/>
          </w:tblCellMar>
        </w:tblPrEx>
        <w:trPr>
          <w:trHeight w:val="283" w:hRule="exact"/>
          <w:jc w:val="center"/>
        </w:trPr>
        <w:tc>
          <w:tcPr>
            <w:tcW w:w="3312" w:type="dxa"/>
            <w:shd w:val="clear" w:color="auto" w:fill="auto"/>
            <w:vAlign w:val="center"/>
          </w:tcPr>
          <w:p w14:paraId="6F0F24EF">
            <w:pPr>
              <w:pStyle w:val="67"/>
              <w:spacing w:line="240" w:lineRule="auto"/>
              <w:ind w:firstLine="780"/>
              <w:rPr>
                <w:rFonts w:ascii="Times New Roman" w:hAnsi="Times New Roman" w:cs="Times New Roman"/>
                <w:sz w:val="15"/>
                <w:szCs w:val="15"/>
                <w:lang w:bidi="zh-CN"/>
              </w:rPr>
            </w:pPr>
            <w:r>
              <w:rPr>
                <w:rFonts w:hint="eastAsia"/>
                <w:sz w:val="15"/>
                <w:szCs w:val="15"/>
              </w:rPr>
              <w:t>Taq HS酶（5U/</w:t>
            </w:r>
            <w:r>
              <w:rPr>
                <w:rFonts w:ascii="Book Antiqua" w:hAnsi="Book Antiqua" w:eastAsia="Times New Roman" w:cs="Times New Roman"/>
                <w:bCs/>
                <w:sz w:val="15"/>
                <w:szCs w:val="15"/>
                <w:lang w:eastAsia="en-US" w:bidi="en-US"/>
              </w:rPr>
              <w:t>µ</w:t>
            </w:r>
            <w:r>
              <w:rPr>
                <w:rFonts w:ascii="Times New Roman" w:hAnsi="Times New Roman" w:eastAsia="Times New Roman" w:cs="Times New Roman"/>
                <w:bCs/>
                <w:sz w:val="15"/>
                <w:szCs w:val="15"/>
                <w:lang w:eastAsia="en-US" w:bidi="en-US"/>
              </w:rPr>
              <w:t>L</w:t>
            </w:r>
            <w:r>
              <w:rPr>
                <w:rFonts w:hint="eastAsia"/>
                <w:sz w:val="15"/>
                <w:szCs w:val="15"/>
              </w:rPr>
              <w:t>）</w:t>
            </w:r>
          </w:p>
        </w:tc>
        <w:tc>
          <w:tcPr>
            <w:tcW w:w="1982" w:type="dxa"/>
            <w:shd w:val="clear" w:color="auto" w:fill="auto"/>
            <w:vAlign w:val="center"/>
          </w:tcPr>
          <w:p w14:paraId="09207403">
            <w:pPr>
              <w:pStyle w:val="67"/>
              <w:spacing w:line="240" w:lineRule="auto"/>
              <w:ind w:firstLine="780"/>
              <w:rPr>
                <w:rFonts w:ascii="Times New Roman" w:hAnsi="Times New Roman" w:cs="Times New Roman"/>
                <w:sz w:val="15"/>
                <w:szCs w:val="15"/>
                <w:lang w:val="zh-CN" w:bidi="zh-CN"/>
              </w:rPr>
            </w:pPr>
            <w:r>
              <w:rPr>
                <w:rFonts w:hint="eastAsia" w:ascii="Times New Roman" w:hAnsi="Times New Roman" w:cs="Times New Roman"/>
                <w:sz w:val="15"/>
                <w:szCs w:val="15"/>
                <w:lang w:val="zh-CN" w:bidi="zh-CN"/>
              </w:rPr>
              <w:t>0.5</w:t>
            </w:r>
          </w:p>
        </w:tc>
        <w:tc>
          <w:tcPr>
            <w:tcW w:w="2866" w:type="dxa"/>
            <w:shd w:val="clear" w:color="auto" w:fill="auto"/>
            <w:vAlign w:val="center"/>
          </w:tcPr>
          <w:p w14:paraId="48156029">
            <w:pPr>
              <w:pStyle w:val="67"/>
              <w:spacing w:line="240" w:lineRule="auto"/>
              <w:ind w:firstLine="780"/>
              <w:jc w:val="both"/>
              <w:rPr>
                <w:rFonts w:ascii="Times New Roman" w:hAnsi="Times New Roman" w:cs="Times New Roman"/>
                <w:sz w:val="15"/>
                <w:szCs w:val="15"/>
                <w:lang w:val="zh-CN" w:bidi="zh-CN"/>
              </w:rPr>
            </w:pPr>
            <w:r>
              <w:rPr>
                <w:rFonts w:ascii="Times New Roman" w:hAnsi="Times New Roman" w:cs="Times New Roman"/>
                <w:sz w:val="15"/>
                <w:szCs w:val="15"/>
                <w:lang w:val="zh-CN" w:bidi="zh-CN"/>
              </w:rPr>
              <w:t>1X</w:t>
            </w:r>
          </w:p>
        </w:tc>
      </w:tr>
      <w:tr w14:paraId="60C87F4D">
        <w:tblPrEx>
          <w:tblCellMar>
            <w:top w:w="0" w:type="dxa"/>
            <w:left w:w="10" w:type="dxa"/>
            <w:bottom w:w="0" w:type="dxa"/>
            <w:right w:w="10" w:type="dxa"/>
          </w:tblCellMar>
        </w:tblPrEx>
        <w:trPr>
          <w:trHeight w:val="278" w:hRule="exact"/>
          <w:jc w:val="center"/>
        </w:trPr>
        <w:tc>
          <w:tcPr>
            <w:tcW w:w="3312" w:type="dxa"/>
            <w:shd w:val="clear" w:color="auto" w:fill="auto"/>
          </w:tcPr>
          <w:p w14:paraId="4B7C8BAF">
            <w:pPr>
              <w:pStyle w:val="67"/>
              <w:spacing w:line="240" w:lineRule="auto"/>
              <w:ind w:firstLine="780"/>
              <w:rPr>
                <w:rFonts w:ascii="Times New Roman" w:hAnsi="Times New Roman" w:cs="Times New Roman"/>
                <w:sz w:val="15"/>
                <w:szCs w:val="15"/>
                <w:lang w:bidi="zh-CN"/>
              </w:rPr>
            </w:pPr>
            <w:r>
              <w:rPr>
                <w:rFonts w:hint="eastAsia" w:ascii="Times New Roman" w:hAnsi="Times New Roman" w:cs="Times New Roman"/>
                <w:sz w:val="15"/>
                <w:szCs w:val="15"/>
                <w:lang w:val="zh-CN" w:bidi="zh-CN"/>
              </w:rPr>
              <w:t>正向引物</w:t>
            </w:r>
            <w:r>
              <w:rPr>
                <w:rFonts w:ascii="Times New Roman" w:hAnsi="Times New Roman" w:cs="Times New Roman"/>
                <w:sz w:val="15"/>
                <w:szCs w:val="15"/>
                <w:lang w:bidi="zh-CN"/>
              </w:rPr>
              <w:t>(l</w:t>
            </w:r>
            <w:r>
              <w:rPr>
                <w:rFonts w:hint="eastAsia" w:ascii="Times New Roman" w:hAnsi="Times New Roman" w:cs="Times New Roman"/>
                <w:sz w:val="15"/>
                <w:szCs w:val="15"/>
                <w:lang w:bidi="zh-CN"/>
              </w:rPr>
              <w:t>0</w:t>
            </w:r>
            <w:r>
              <w:rPr>
                <w:rFonts w:ascii="Times New Roman" w:hAnsi="Times New Roman" w:cs="Times New Roman"/>
                <w:sz w:val="15"/>
                <w:szCs w:val="15"/>
                <w:lang w:bidi="zh-CN"/>
              </w:rPr>
              <w:t>µmol/L)</w:t>
            </w:r>
          </w:p>
        </w:tc>
        <w:tc>
          <w:tcPr>
            <w:tcW w:w="1982" w:type="dxa"/>
            <w:shd w:val="clear" w:color="auto" w:fill="auto"/>
          </w:tcPr>
          <w:p w14:paraId="46C51166">
            <w:pPr>
              <w:pStyle w:val="67"/>
              <w:spacing w:line="240" w:lineRule="auto"/>
              <w:ind w:firstLine="780"/>
              <w:rPr>
                <w:rFonts w:ascii="Times New Roman" w:hAnsi="Times New Roman" w:cs="Times New Roman"/>
                <w:sz w:val="15"/>
                <w:szCs w:val="15"/>
                <w:lang w:val="zh-CN" w:bidi="zh-CN"/>
              </w:rPr>
            </w:pPr>
            <w:r>
              <w:rPr>
                <w:rFonts w:hint="eastAsia" w:ascii="Times New Roman" w:hAnsi="Times New Roman" w:cs="Times New Roman"/>
                <w:sz w:val="15"/>
                <w:szCs w:val="15"/>
                <w:lang w:val="zh-CN" w:bidi="zh-CN"/>
              </w:rPr>
              <w:t>0.5</w:t>
            </w:r>
          </w:p>
        </w:tc>
        <w:tc>
          <w:tcPr>
            <w:tcW w:w="2866" w:type="dxa"/>
            <w:shd w:val="clear" w:color="auto" w:fill="auto"/>
          </w:tcPr>
          <w:p w14:paraId="0E256A4D">
            <w:pPr>
              <w:pStyle w:val="67"/>
              <w:spacing w:line="240" w:lineRule="auto"/>
              <w:ind w:firstLine="780"/>
              <w:jc w:val="both"/>
              <w:rPr>
                <w:rFonts w:ascii="Times New Roman" w:hAnsi="Times New Roman" w:cs="Times New Roman"/>
                <w:sz w:val="15"/>
                <w:szCs w:val="15"/>
                <w:lang w:val="zh-CN" w:bidi="zh-CN"/>
              </w:rPr>
            </w:pPr>
            <w:r>
              <w:rPr>
                <w:rFonts w:hint="eastAsia" w:ascii="Times New Roman" w:hAnsi="Times New Roman" w:cs="Times New Roman"/>
                <w:sz w:val="15"/>
                <w:szCs w:val="15"/>
                <w:lang w:val="zh-CN" w:bidi="zh-CN"/>
              </w:rPr>
              <w:t>2</w:t>
            </w:r>
            <w:r>
              <w:rPr>
                <w:rFonts w:ascii="Times New Roman" w:hAnsi="Times New Roman" w:cs="Times New Roman"/>
                <w:sz w:val="15"/>
                <w:szCs w:val="15"/>
                <w:lang w:val="zh-CN" w:bidi="zh-CN"/>
              </w:rPr>
              <w:t>00 nmol/L</w:t>
            </w:r>
          </w:p>
        </w:tc>
      </w:tr>
      <w:tr w14:paraId="710EF837">
        <w:tblPrEx>
          <w:tblCellMar>
            <w:top w:w="0" w:type="dxa"/>
            <w:left w:w="10" w:type="dxa"/>
            <w:bottom w:w="0" w:type="dxa"/>
            <w:right w:w="10" w:type="dxa"/>
          </w:tblCellMar>
        </w:tblPrEx>
        <w:trPr>
          <w:trHeight w:val="283" w:hRule="exact"/>
          <w:jc w:val="center"/>
        </w:trPr>
        <w:tc>
          <w:tcPr>
            <w:tcW w:w="3312" w:type="dxa"/>
            <w:shd w:val="clear" w:color="auto" w:fill="auto"/>
          </w:tcPr>
          <w:p w14:paraId="06322844">
            <w:pPr>
              <w:pStyle w:val="67"/>
              <w:spacing w:line="240" w:lineRule="auto"/>
              <w:ind w:firstLine="780"/>
              <w:rPr>
                <w:rFonts w:ascii="Times New Roman" w:hAnsi="Times New Roman" w:cs="Times New Roman"/>
                <w:sz w:val="15"/>
                <w:szCs w:val="15"/>
                <w:lang w:val="zh-CN" w:bidi="zh-CN"/>
              </w:rPr>
            </w:pPr>
            <w:r>
              <w:rPr>
                <w:rFonts w:hint="eastAsia" w:ascii="Times New Roman" w:hAnsi="Times New Roman" w:cs="Times New Roman"/>
                <w:sz w:val="15"/>
                <w:szCs w:val="15"/>
                <w:lang w:val="zh-CN" w:bidi="zh-CN"/>
              </w:rPr>
              <w:t>反向引物</w:t>
            </w:r>
            <w:r>
              <w:rPr>
                <w:rFonts w:ascii="Times New Roman" w:hAnsi="Times New Roman" w:cs="Times New Roman"/>
                <w:sz w:val="15"/>
                <w:szCs w:val="15"/>
                <w:lang w:val="zh-CN" w:bidi="zh-CN"/>
              </w:rPr>
              <w:t>(10µmol/L)</w:t>
            </w:r>
          </w:p>
        </w:tc>
        <w:tc>
          <w:tcPr>
            <w:tcW w:w="1982" w:type="dxa"/>
            <w:shd w:val="clear" w:color="auto" w:fill="auto"/>
          </w:tcPr>
          <w:p w14:paraId="3A8E405B">
            <w:pPr>
              <w:pStyle w:val="67"/>
              <w:spacing w:line="240" w:lineRule="auto"/>
              <w:ind w:firstLine="780"/>
              <w:rPr>
                <w:rFonts w:ascii="Times New Roman" w:hAnsi="Times New Roman" w:cs="Times New Roman"/>
                <w:sz w:val="15"/>
                <w:szCs w:val="15"/>
                <w:lang w:val="zh-CN" w:bidi="zh-CN"/>
              </w:rPr>
            </w:pPr>
            <w:r>
              <w:rPr>
                <w:rFonts w:hint="eastAsia" w:ascii="Times New Roman" w:hAnsi="Times New Roman" w:cs="Times New Roman"/>
                <w:sz w:val="15"/>
                <w:szCs w:val="15"/>
                <w:lang w:val="zh-CN" w:bidi="zh-CN"/>
              </w:rPr>
              <w:t>0.5</w:t>
            </w:r>
          </w:p>
        </w:tc>
        <w:tc>
          <w:tcPr>
            <w:tcW w:w="2866" w:type="dxa"/>
            <w:shd w:val="clear" w:color="auto" w:fill="auto"/>
          </w:tcPr>
          <w:p w14:paraId="0A1484E0">
            <w:pPr>
              <w:pStyle w:val="67"/>
              <w:spacing w:line="240" w:lineRule="auto"/>
              <w:ind w:firstLine="780"/>
              <w:jc w:val="both"/>
              <w:rPr>
                <w:rFonts w:ascii="Times New Roman" w:hAnsi="Times New Roman" w:cs="Times New Roman"/>
                <w:sz w:val="15"/>
                <w:szCs w:val="15"/>
                <w:lang w:val="zh-CN" w:bidi="zh-CN"/>
              </w:rPr>
            </w:pPr>
            <w:r>
              <w:rPr>
                <w:rFonts w:hint="eastAsia" w:ascii="Times New Roman" w:hAnsi="Times New Roman" w:cs="Times New Roman"/>
                <w:sz w:val="15"/>
                <w:szCs w:val="15"/>
                <w:lang w:val="zh-CN" w:bidi="zh-CN"/>
              </w:rPr>
              <w:t>2</w:t>
            </w:r>
            <w:r>
              <w:rPr>
                <w:rFonts w:ascii="Times New Roman" w:hAnsi="Times New Roman" w:cs="Times New Roman"/>
                <w:sz w:val="15"/>
                <w:szCs w:val="15"/>
                <w:lang w:val="zh-CN" w:bidi="zh-CN"/>
              </w:rPr>
              <w:t>00 nmol/L</w:t>
            </w:r>
          </w:p>
        </w:tc>
      </w:tr>
      <w:tr w14:paraId="1145EDC3">
        <w:tblPrEx>
          <w:tblCellMar>
            <w:top w:w="0" w:type="dxa"/>
            <w:left w:w="10" w:type="dxa"/>
            <w:bottom w:w="0" w:type="dxa"/>
            <w:right w:w="10" w:type="dxa"/>
          </w:tblCellMar>
        </w:tblPrEx>
        <w:trPr>
          <w:trHeight w:val="293" w:hRule="exact"/>
          <w:jc w:val="center"/>
        </w:trPr>
        <w:tc>
          <w:tcPr>
            <w:tcW w:w="3312" w:type="dxa"/>
            <w:shd w:val="clear" w:color="auto" w:fill="auto"/>
            <w:vAlign w:val="bottom"/>
          </w:tcPr>
          <w:p w14:paraId="14356E63">
            <w:pPr>
              <w:pStyle w:val="67"/>
              <w:spacing w:line="240" w:lineRule="auto"/>
              <w:ind w:firstLine="780"/>
              <w:rPr>
                <w:rFonts w:ascii="Times New Roman" w:hAnsi="Times New Roman" w:cs="Times New Roman"/>
                <w:sz w:val="15"/>
                <w:szCs w:val="15"/>
                <w:lang w:val="zh-CN" w:bidi="zh-CN"/>
              </w:rPr>
            </w:pPr>
            <w:r>
              <w:rPr>
                <w:rFonts w:ascii="Times New Roman" w:hAnsi="Times New Roman" w:cs="Times New Roman"/>
                <w:sz w:val="15"/>
                <w:szCs w:val="15"/>
                <w:lang w:val="zh-CN" w:bidi="zh-CN"/>
              </w:rPr>
              <w:t>cDNA</w:t>
            </w:r>
            <w:r>
              <w:rPr>
                <w:rFonts w:hint="eastAsia" w:ascii="Times New Roman" w:hAnsi="Times New Roman" w:cs="Times New Roman"/>
                <w:sz w:val="15"/>
                <w:szCs w:val="15"/>
                <w:lang w:val="zh-CN" w:bidi="zh-CN"/>
              </w:rPr>
              <w:t>模板</w:t>
            </w:r>
          </w:p>
        </w:tc>
        <w:tc>
          <w:tcPr>
            <w:tcW w:w="1982" w:type="dxa"/>
            <w:shd w:val="clear" w:color="auto" w:fill="auto"/>
            <w:vAlign w:val="bottom"/>
          </w:tcPr>
          <w:p w14:paraId="09175228">
            <w:pPr>
              <w:pStyle w:val="67"/>
              <w:spacing w:line="240" w:lineRule="auto"/>
              <w:ind w:firstLine="780"/>
              <w:rPr>
                <w:rFonts w:ascii="Times New Roman" w:hAnsi="Times New Roman" w:cs="Times New Roman"/>
                <w:sz w:val="15"/>
                <w:szCs w:val="15"/>
                <w:lang w:val="zh-CN" w:bidi="zh-CN"/>
              </w:rPr>
            </w:pPr>
            <w:r>
              <w:rPr>
                <w:rFonts w:ascii="Times New Roman" w:hAnsi="Times New Roman" w:cs="Times New Roman"/>
                <w:sz w:val="15"/>
                <w:szCs w:val="15"/>
                <w:lang w:val="zh-CN" w:bidi="zh-CN"/>
              </w:rPr>
              <w:t>2</w:t>
            </w:r>
          </w:p>
        </w:tc>
        <w:tc>
          <w:tcPr>
            <w:tcW w:w="2866" w:type="dxa"/>
            <w:shd w:val="clear" w:color="auto" w:fill="auto"/>
          </w:tcPr>
          <w:p w14:paraId="5750923E">
            <w:pPr>
              <w:ind w:firstLine="780"/>
              <w:rPr>
                <w:sz w:val="15"/>
                <w:szCs w:val="15"/>
                <w:lang w:val="zh-CN" w:eastAsia="zh-CN" w:bidi="zh-CN"/>
              </w:rPr>
            </w:pPr>
          </w:p>
        </w:tc>
      </w:tr>
      <w:tr w14:paraId="59DCF894">
        <w:tblPrEx>
          <w:tblCellMar>
            <w:top w:w="0" w:type="dxa"/>
            <w:left w:w="10" w:type="dxa"/>
            <w:bottom w:w="0" w:type="dxa"/>
            <w:right w:w="10" w:type="dxa"/>
          </w:tblCellMar>
        </w:tblPrEx>
        <w:trPr>
          <w:trHeight w:val="288" w:hRule="exact"/>
          <w:jc w:val="center"/>
        </w:trPr>
        <w:tc>
          <w:tcPr>
            <w:tcW w:w="3312" w:type="dxa"/>
            <w:shd w:val="clear" w:color="auto" w:fill="auto"/>
          </w:tcPr>
          <w:p w14:paraId="2603186C">
            <w:pPr>
              <w:pStyle w:val="67"/>
              <w:spacing w:line="240" w:lineRule="auto"/>
              <w:ind w:firstLine="780"/>
              <w:rPr>
                <w:rFonts w:ascii="Times New Roman" w:hAnsi="Times New Roman" w:cs="Times New Roman"/>
                <w:sz w:val="15"/>
                <w:szCs w:val="15"/>
                <w:lang w:val="zh-CN" w:bidi="zh-CN"/>
              </w:rPr>
            </w:pPr>
            <w:r>
              <w:rPr>
                <w:rFonts w:ascii="Times New Roman" w:hAnsi="Times New Roman" w:cs="Times New Roman"/>
                <w:sz w:val="15"/>
                <w:szCs w:val="15"/>
                <w:lang w:val="zh-CN" w:bidi="zh-CN"/>
              </w:rPr>
              <w:t>Nuclease-Free Water</w:t>
            </w:r>
          </w:p>
        </w:tc>
        <w:tc>
          <w:tcPr>
            <w:tcW w:w="1982" w:type="dxa"/>
            <w:shd w:val="clear" w:color="auto" w:fill="auto"/>
          </w:tcPr>
          <w:p w14:paraId="0EE19BDF">
            <w:pPr>
              <w:pStyle w:val="67"/>
              <w:spacing w:line="240" w:lineRule="auto"/>
              <w:ind w:firstLine="780"/>
              <w:rPr>
                <w:rFonts w:ascii="Times New Roman" w:hAnsi="Times New Roman" w:cs="Times New Roman"/>
                <w:sz w:val="15"/>
                <w:szCs w:val="15"/>
                <w:lang w:val="zh-CN" w:bidi="zh-CN"/>
              </w:rPr>
            </w:pPr>
            <w:r>
              <w:rPr>
                <w:rFonts w:hint="eastAsia" w:ascii="Times New Roman" w:hAnsi="Times New Roman" w:cs="Times New Roman"/>
                <w:sz w:val="15"/>
                <w:szCs w:val="15"/>
                <w:lang w:val="zh-CN" w:bidi="zh-CN"/>
              </w:rPr>
              <w:t>17</w:t>
            </w:r>
          </w:p>
        </w:tc>
        <w:tc>
          <w:tcPr>
            <w:tcW w:w="2866" w:type="dxa"/>
            <w:shd w:val="clear" w:color="auto" w:fill="auto"/>
          </w:tcPr>
          <w:p w14:paraId="209F64B2">
            <w:pPr>
              <w:ind w:firstLine="780"/>
              <w:rPr>
                <w:sz w:val="15"/>
                <w:szCs w:val="15"/>
                <w:lang w:val="zh-CN" w:eastAsia="zh-CN" w:bidi="zh-CN"/>
              </w:rPr>
            </w:pPr>
          </w:p>
        </w:tc>
      </w:tr>
      <w:tr w14:paraId="548828F8">
        <w:tblPrEx>
          <w:tblCellMar>
            <w:top w:w="0" w:type="dxa"/>
            <w:left w:w="10" w:type="dxa"/>
            <w:bottom w:w="0" w:type="dxa"/>
            <w:right w:w="10" w:type="dxa"/>
          </w:tblCellMar>
        </w:tblPrEx>
        <w:trPr>
          <w:trHeight w:val="307" w:hRule="exact"/>
          <w:jc w:val="center"/>
        </w:trPr>
        <w:tc>
          <w:tcPr>
            <w:tcW w:w="3312" w:type="dxa"/>
            <w:tcBorders>
              <w:bottom w:val="single" w:color="auto" w:sz="4" w:space="0"/>
            </w:tcBorders>
            <w:shd w:val="clear" w:color="auto" w:fill="auto"/>
            <w:vAlign w:val="bottom"/>
          </w:tcPr>
          <w:p w14:paraId="1D1B895D">
            <w:pPr>
              <w:pStyle w:val="67"/>
              <w:spacing w:line="240" w:lineRule="auto"/>
              <w:ind w:firstLine="780"/>
              <w:rPr>
                <w:rFonts w:ascii="Times New Roman" w:hAnsi="Times New Roman" w:cs="Times New Roman"/>
                <w:sz w:val="15"/>
                <w:szCs w:val="15"/>
                <w:lang w:val="zh-CN" w:bidi="zh-CN"/>
              </w:rPr>
            </w:pPr>
            <w:r>
              <w:rPr>
                <w:rFonts w:hint="eastAsia" w:ascii="Times New Roman" w:hAnsi="Times New Roman" w:cs="Times New Roman"/>
                <w:sz w:val="15"/>
                <w:szCs w:val="15"/>
                <w:lang w:val="zh-CN" w:bidi="zh-CN"/>
              </w:rPr>
              <w:t>总体积</w:t>
            </w:r>
          </w:p>
        </w:tc>
        <w:tc>
          <w:tcPr>
            <w:tcW w:w="1982" w:type="dxa"/>
            <w:tcBorders>
              <w:bottom w:val="single" w:color="auto" w:sz="4" w:space="0"/>
            </w:tcBorders>
            <w:shd w:val="clear" w:color="auto" w:fill="auto"/>
            <w:vAlign w:val="bottom"/>
          </w:tcPr>
          <w:p w14:paraId="53A35FAB">
            <w:pPr>
              <w:pStyle w:val="67"/>
              <w:spacing w:line="240" w:lineRule="auto"/>
              <w:ind w:firstLine="780"/>
              <w:rPr>
                <w:rFonts w:ascii="Times New Roman" w:hAnsi="Times New Roman" w:cs="Times New Roman"/>
                <w:sz w:val="15"/>
                <w:szCs w:val="15"/>
                <w:lang w:val="zh-CN" w:bidi="zh-CN"/>
              </w:rPr>
            </w:pPr>
            <w:r>
              <w:rPr>
                <w:rFonts w:hint="eastAsia" w:ascii="Times New Roman" w:hAnsi="Times New Roman" w:cs="Times New Roman"/>
                <w:sz w:val="15"/>
                <w:szCs w:val="15"/>
                <w:lang w:val="zh-CN" w:bidi="zh-CN"/>
              </w:rPr>
              <w:t>25</w:t>
            </w:r>
          </w:p>
        </w:tc>
        <w:tc>
          <w:tcPr>
            <w:tcW w:w="2866" w:type="dxa"/>
            <w:tcBorders>
              <w:bottom w:val="single" w:color="auto" w:sz="4" w:space="0"/>
            </w:tcBorders>
            <w:shd w:val="clear" w:color="auto" w:fill="auto"/>
          </w:tcPr>
          <w:p w14:paraId="4FB3C29F">
            <w:pPr>
              <w:ind w:firstLine="780"/>
              <w:rPr>
                <w:sz w:val="15"/>
                <w:szCs w:val="15"/>
                <w:lang w:val="zh-CN" w:eastAsia="zh-CN" w:bidi="zh-CN"/>
              </w:rPr>
            </w:pPr>
          </w:p>
        </w:tc>
      </w:tr>
    </w:tbl>
    <w:p w14:paraId="562D9C18">
      <w:pPr>
        <w:spacing w:line="360" w:lineRule="auto"/>
        <w:rPr>
          <w:rFonts w:hint="default" w:ascii="Times New Roman" w:hAnsi="Times New Roman" w:eastAsia="宋体" w:cs="Times New Roman"/>
          <w:sz w:val="21"/>
          <w:lang w:eastAsia="zh-CN"/>
        </w:rPr>
      </w:pPr>
      <w:r>
        <w:rPr>
          <w:rFonts w:hint="default" w:ascii="Times New Roman" w:hAnsi="Times New Roman" w:eastAsia="宋体" w:cs="Times New Roman"/>
          <w:sz w:val="21"/>
          <w:lang w:eastAsia="zh-CN"/>
        </w:rPr>
        <w:t>8.3.2</w:t>
      </w:r>
      <w:r>
        <w:rPr>
          <w:rFonts w:hint="eastAsia" w:cs="Times New Roman"/>
          <w:sz w:val="21"/>
          <w:lang w:val="en-US" w:eastAsia="zh-CN"/>
        </w:rPr>
        <w:t xml:space="preserve"> </w:t>
      </w:r>
      <w:r>
        <w:rPr>
          <w:rFonts w:hint="default" w:ascii="Times New Roman" w:hAnsi="Times New Roman" w:eastAsia="宋体" w:cs="Times New Roman"/>
          <w:sz w:val="21"/>
          <w:lang w:eastAsia="zh-CN"/>
        </w:rPr>
        <w:t>普通PCR反应参数</w:t>
      </w:r>
    </w:p>
    <w:p w14:paraId="4F985401">
      <w:pPr>
        <w:spacing w:line="360" w:lineRule="auto"/>
        <w:rPr>
          <w:rFonts w:hint="eastAsia"/>
          <w:sz w:val="21"/>
          <w:lang w:eastAsia="zh-CN"/>
        </w:rPr>
      </w:pPr>
      <w:r>
        <w:rPr>
          <w:rFonts w:hint="eastAsia"/>
          <w:sz w:val="21"/>
          <w:lang w:eastAsia="zh-CN"/>
        </w:rPr>
        <w:t xml:space="preserve">    普通</w:t>
      </w:r>
      <w:r>
        <w:rPr>
          <w:sz w:val="21"/>
          <w:lang w:eastAsia="zh-CN"/>
        </w:rPr>
        <w:t>PCR</w:t>
      </w:r>
      <w:r>
        <w:rPr>
          <w:rFonts w:hint="eastAsia"/>
          <w:sz w:val="21"/>
          <w:lang w:eastAsia="zh-CN"/>
        </w:rPr>
        <w:t>反应参数见表6，试验检测结束后，对扩增产物进行电泳检测。</w:t>
      </w:r>
    </w:p>
    <w:p w14:paraId="47DC1F40">
      <w:pPr>
        <w:spacing w:line="360" w:lineRule="auto"/>
        <w:rPr>
          <w:sz w:val="21"/>
          <w:lang w:eastAsia="zh-CN"/>
        </w:rPr>
      </w:pPr>
      <w:r>
        <w:rPr>
          <w:rFonts w:hint="eastAsia"/>
          <w:sz w:val="21"/>
          <w:lang w:eastAsia="zh-CN"/>
        </w:rPr>
        <w:t xml:space="preserve">                             </w:t>
      </w:r>
      <w:r>
        <w:rPr>
          <w:rFonts w:hint="eastAsia"/>
          <w:sz w:val="18"/>
          <w:szCs w:val="18"/>
          <w:lang w:eastAsia="zh-CN"/>
        </w:rPr>
        <w:t>表6 普通PCR反应参数</w:t>
      </w:r>
    </w:p>
    <w:tbl>
      <w:tblPr>
        <w:tblStyle w:val="21"/>
        <w:tblW w:w="0" w:type="auto"/>
        <w:jc w:val="center"/>
        <w:tblLayout w:type="fixed"/>
        <w:tblCellMar>
          <w:top w:w="0" w:type="dxa"/>
          <w:left w:w="10" w:type="dxa"/>
          <w:bottom w:w="0" w:type="dxa"/>
          <w:right w:w="10" w:type="dxa"/>
        </w:tblCellMar>
      </w:tblPr>
      <w:tblGrid>
        <w:gridCol w:w="1747"/>
        <w:gridCol w:w="3595"/>
        <w:gridCol w:w="2390"/>
      </w:tblGrid>
      <w:tr w14:paraId="1F4A6055">
        <w:tblPrEx>
          <w:tblCellMar>
            <w:top w:w="0" w:type="dxa"/>
            <w:left w:w="10" w:type="dxa"/>
            <w:bottom w:w="0" w:type="dxa"/>
            <w:right w:w="10" w:type="dxa"/>
          </w:tblCellMar>
        </w:tblPrEx>
        <w:trPr>
          <w:trHeight w:val="331" w:hRule="exact"/>
          <w:jc w:val="center"/>
        </w:trPr>
        <w:tc>
          <w:tcPr>
            <w:tcW w:w="1747" w:type="dxa"/>
            <w:tcBorders>
              <w:top w:val="single" w:color="auto" w:sz="4" w:space="0"/>
              <w:bottom w:val="single" w:color="auto" w:sz="4" w:space="0"/>
            </w:tcBorders>
            <w:shd w:val="clear" w:color="auto" w:fill="auto"/>
            <w:vAlign w:val="center"/>
          </w:tcPr>
          <w:p w14:paraId="3FE694F8">
            <w:pPr>
              <w:pStyle w:val="67"/>
              <w:spacing w:line="240" w:lineRule="auto"/>
              <w:ind w:firstLine="520"/>
              <w:jc w:val="center"/>
              <w:rPr>
                <w:sz w:val="15"/>
                <w:szCs w:val="15"/>
              </w:rPr>
            </w:pPr>
            <w:r>
              <w:rPr>
                <w:rFonts w:hint="eastAsia"/>
                <w:sz w:val="15"/>
                <w:szCs w:val="15"/>
                <w:lang w:val="zh-CN" w:bidi="zh-CN"/>
              </w:rPr>
              <w:t>步骤</w:t>
            </w:r>
          </w:p>
        </w:tc>
        <w:tc>
          <w:tcPr>
            <w:tcW w:w="3595" w:type="dxa"/>
            <w:tcBorders>
              <w:top w:val="single" w:color="auto" w:sz="4" w:space="0"/>
              <w:bottom w:val="single" w:color="auto" w:sz="4" w:space="0"/>
            </w:tcBorders>
            <w:shd w:val="clear" w:color="auto" w:fill="auto"/>
            <w:vAlign w:val="center"/>
          </w:tcPr>
          <w:p w14:paraId="6FBC6429">
            <w:pPr>
              <w:pStyle w:val="67"/>
              <w:tabs>
                <w:tab w:val="left" w:pos="2166"/>
              </w:tabs>
              <w:spacing w:line="240" w:lineRule="auto"/>
              <w:ind w:firstLine="400"/>
              <w:jc w:val="center"/>
              <w:rPr>
                <w:sz w:val="15"/>
                <w:szCs w:val="15"/>
              </w:rPr>
            </w:pPr>
            <w:r>
              <w:rPr>
                <w:rFonts w:hint="eastAsia"/>
                <w:sz w:val="15"/>
                <w:szCs w:val="15"/>
                <w:lang w:val="zh-CN" w:bidi="zh-CN"/>
              </w:rPr>
              <w:t>温度</w:t>
            </w:r>
            <w:r>
              <w:rPr>
                <w:sz w:val="15"/>
                <w:szCs w:val="15"/>
                <w:lang w:val="zh-CN" w:bidi="zh-CN"/>
              </w:rPr>
              <w:t>/</w:t>
            </w:r>
            <w:r>
              <w:rPr>
                <w:rFonts w:hint="eastAsia"/>
                <w:sz w:val="15"/>
                <w:szCs w:val="15"/>
                <w:lang w:val="zh-CN" w:bidi="zh-CN"/>
              </w:rPr>
              <w:t>℃</w:t>
            </w:r>
            <w:r>
              <w:rPr>
                <w:sz w:val="15"/>
                <w:szCs w:val="15"/>
                <w:lang w:val="zh-CN" w:bidi="zh-CN"/>
              </w:rPr>
              <w:tab/>
            </w:r>
            <w:r>
              <w:rPr>
                <w:rFonts w:hint="eastAsia"/>
                <w:sz w:val="15"/>
                <w:szCs w:val="15"/>
                <w:lang w:val="zh-CN" w:bidi="zh-CN"/>
              </w:rPr>
              <w:t>时间</w:t>
            </w:r>
          </w:p>
        </w:tc>
        <w:tc>
          <w:tcPr>
            <w:tcW w:w="2390" w:type="dxa"/>
            <w:tcBorders>
              <w:top w:val="single" w:color="auto" w:sz="4" w:space="0"/>
              <w:bottom w:val="single" w:color="auto" w:sz="4" w:space="0"/>
            </w:tcBorders>
            <w:shd w:val="clear" w:color="auto" w:fill="auto"/>
            <w:vAlign w:val="center"/>
          </w:tcPr>
          <w:p w14:paraId="7DC15B6A">
            <w:pPr>
              <w:pStyle w:val="67"/>
              <w:spacing w:line="240" w:lineRule="auto"/>
              <w:ind w:firstLine="0"/>
              <w:jc w:val="center"/>
              <w:rPr>
                <w:sz w:val="15"/>
                <w:szCs w:val="15"/>
              </w:rPr>
            </w:pPr>
            <w:r>
              <w:rPr>
                <w:rFonts w:hint="eastAsia"/>
                <w:sz w:val="15"/>
                <w:szCs w:val="15"/>
                <w:lang w:val="zh-CN" w:bidi="zh-CN"/>
              </w:rPr>
              <w:t>循环数</w:t>
            </w:r>
          </w:p>
        </w:tc>
      </w:tr>
      <w:tr w14:paraId="3A14CCE0">
        <w:tblPrEx>
          <w:tblCellMar>
            <w:top w:w="0" w:type="dxa"/>
            <w:left w:w="10" w:type="dxa"/>
            <w:bottom w:w="0" w:type="dxa"/>
            <w:right w:w="10" w:type="dxa"/>
          </w:tblCellMar>
        </w:tblPrEx>
        <w:trPr>
          <w:trHeight w:val="317" w:hRule="exact"/>
          <w:jc w:val="center"/>
        </w:trPr>
        <w:tc>
          <w:tcPr>
            <w:tcW w:w="1747" w:type="dxa"/>
            <w:tcBorders>
              <w:top w:val="single" w:color="auto" w:sz="4" w:space="0"/>
            </w:tcBorders>
            <w:shd w:val="clear" w:color="auto" w:fill="auto"/>
            <w:vAlign w:val="center"/>
          </w:tcPr>
          <w:p w14:paraId="4F4DBD27">
            <w:pPr>
              <w:pStyle w:val="67"/>
              <w:spacing w:line="240" w:lineRule="auto"/>
              <w:ind w:firstLine="520"/>
              <w:jc w:val="center"/>
              <w:rPr>
                <w:sz w:val="15"/>
                <w:szCs w:val="15"/>
              </w:rPr>
            </w:pPr>
            <w:r>
              <w:rPr>
                <w:rFonts w:hint="eastAsia"/>
                <w:sz w:val="15"/>
                <w:szCs w:val="15"/>
                <w:lang w:val="zh-CN" w:bidi="zh-CN"/>
              </w:rPr>
              <w:t>变性</w:t>
            </w:r>
          </w:p>
        </w:tc>
        <w:tc>
          <w:tcPr>
            <w:tcW w:w="3595" w:type="dxa"/>
            <w:tcBorders>
              <w:top w:val="single" w:color="auto" w:sz="4" w:space="0"/>
            </w:tcBorders>
            <w:shd w:val="clear" w:color="auto" w:fill="auto"/>
            <w:vAlign w:val="center"/>
          </w:tcPr>
          <w:p w14:paraId="37200C53">
            <w:pPr>
              <w:pStyle w:val="67"/>
              <w:tabs>
                <w:tab w:val="left" w:pos="2185"/>
              </w:tabs>
              <w:spacing w:line="240" w:lineRule="auto"/>
              <w:ind w:firstLine="500"/>
              <w:jc w:val="center"/>
              <w:rPr>
                <w:sz w:val="15"/>
                <w:szCs w:val="15"/>
              </w:rPr>
            </w:pPr>
            <w:r>
              <w:rPr>
                <w:rFonts w:ascii="Times New Roman" w:hAnsi="Times New Roman" w:eastAsia="Times New Roman" w:cs="Times New Roman"/>
                <w:sz w:val="15"/>
                <w:szCs w:val="15"/>
                <w:lang w:val="zh-CN" w:bidi="zh-CN"/>
              </w:rPr>
              <w:t>9</w:t>
            </w:r>
            <w:r>
              <w:rPr>
                <w:rFonts w:hint="eastAsia" w:ascii="Times New Roman" w:hAnsi="Times New Roman" w:cs="Times New Roman"/>
                <w:sz w:val="15"/>
                <w:szCs w:val="15"/>
                <w:lang w:val="zh-CN" w:bidi="zh-CN"/>
              </w:rPr>
              <w:t>8</w:t>
            </w:r>
            <w:r>
              <w:rPr>
                <w:rFonts w:ascii="Times New Roman" w:hAnsi="Times New Roman" w:eastAsia="Times New Roman" w:cs="Times New Roman"/>
                <w:sz w:val="15"/>
                <w:szCs w:val="15"/>
                <w:lang w:val="zh-CN" w:bidi="zh-CN"/>
              </w:rPr>
              <w:tab/>
            </w:r>
            <w:r>
              <w:rPr>
                <w:rFonts w:hint="eastAsia" w:cs="Times New Roman"/>
                <w:sz w:val="15"/>
                <w:szCs w:val="15"/>
                <w:lang w:val="zh-CN" w:bidi="zh-CN"/>
              </w:rPr>
              <w:t>10</w:t>
            </w:r>
            <w:r>
              <w:rPr>
                <w:rFonts w:ascii="Times New Roman" w:hAnsi="Times New Roman" w:eastAsia="Times New Roman" w:cs="Times New Roman"/>
                <w:sz w:val="15"/>
                <w:szCs w:val="15"/>
                <w:lang w:eastAsia="en-US" w:bidi="en-US"/>
              </w:rPr>
              <w:t>s</w:t>
            </w:r>
          </w:p>
        </w:tc>
        <w:tc>
          <w:tcPr>
            <w:tcW w:w="2390" w:type="dxa"/>
            <w:tcBorders>
              <w:top w:val="single" w:color="auto" w:sz="4" w:space="0"/>
            </w:tcBorders>
            <w:shd w:val="clear" w:color="auto" w:fill="auto"/>
            <w:vAlign w:val="center"/>
          </w:tcPr>
          <w:p w14:paraId="21E7BD76">
            <w:pPr>
              <w:pStyle w:val="67"/>
              <w:spacing w:line="240" w:lineRule="auto"/>
              <w:ind w:firstLine="220"/>
              <w:jc w:val="center"/>
              <w:rPr>
                <w:sz w:val="15"/>
                <w:szCs w:val="15"/>
              </w:rPr>
            </w:pPr>
            <w:r>
              <w:rPr>
                <w:rFonts w:ascii="Times New Roman" w:hAnsi="Times New Roman" w:cs="Times New Roman"/>
                <w:sz w:val="15"/>
                <w:szCs w:val="15"/>
                <w:lang w:val="zh-CN" w:bidi="zh-CN"/>
              </w:rPr>
              <w:t>3</w:t>
            </w:r>
            <w:r>
              <w:rPr>
                <w:rFonts w:hint="eastAsia" w:ascii="Times New Roman" w:hAnsi="Times New Roman" w:cs="Times New Roman"/>
                <w:sz w:val="15"/>
                <w:szCs w:val="15"/>
                <w:lang w:val="zh-CN" w:bidi="zh-CN"/>
              </w:rPr>
              <w:t>0</w:t>
            </w:r>
          </w:p>
        </w:tc>
      </w:tr>
      <w:tr w14:paraId="4B9AA6DB">
        <w:tblPrEx>
          <w:tblCellMar>
            <w:top w:w="0" w:type="dxa"/>
            <w:left w:w="10" w:type="dxa"/>
            <w:bottom w:w="0" w:type="dxa"/>
            <w:right w:w="10" w:type="dxa"/>
          </w:tblCellMar>
        </w:tblPrEx>
        <w:trPr>
          <w:trHeight w:val="317" w:hRule="exact"/>
          <w:jc w:val="center"/>
        </w:trPr>
        <w:tc>
          <w:tcPr>
            <w:tcW w:w="1747" w:type="dxa"/>
            <w:shd w:val="clear" w:color="auto" w:fill="auto"/>
            <w:vAlign w:val="center"/>
          </w:tcPr>
          <w:p w14:paraId="5594C890">
            <w:pPr>
              <w:pStyle w:val="67"/>
              <w:spacing w:line="240" w:lineRule="auto"/>
              <w:ind w:firstLine="520"/>
              <w:jc w:val="center"/>
              <w:rPr>
                <w:sz w:val="15"/>
                <w:szCs w:val="15"/>
                <w:lang w:val="zh-CN" w:bidi="zh-CN"/>
              </w:rPr>
            </w:pPr>
            <w:r>
              <w:rPr>
                <w:rFonts w:hint="eastAsia"/>
                <w:sz w:val="15"/>
                <w:szCs w:val="15"/>
                <w:lang w:val="zh-CN" w:bidi="zh-CN"/>
              </w:rPr>
              <w:t>退火</w:t>
            </w:r>
          </w:p>
        </w:tc>
        <w:tc>
          <w:tcPr>
            <w:tcW w:w="3595" w:type="dxa"/>
            <w:shd w:val="clear" w:color="auto" w:fill="auto"/>
            <w:vAlign w:val="center"/>
          </w:tcPr>
          <w:p w14:paraId="0018C20F">
            <w:pPr>
              <w:pStyle w:val="67"/>
              <w:tabs>
                <w:tab w:val="left" w:pos="2185"/>
              </w:tabs>
              <w:spacing w:line="240" w:lineRule="auto"/>
              <w:ind w:firstLine="500"/>
              <w:jc w:val="center"/>
              <w:rPr>
                <w:rFonts w:ascii="Times New Roman" w:hAnsi="Times New Roman" w:cs="Times New Roman"/>
                <w:sz w:val="15"/>
                <w:szCs w:val="15"/>
                <w:lang w:val="zh-CN" w:bidi="zh-CN"/>
              </w:rPr>
            </w:pPr>
            <w:r>
              <w:rPr>
                <w:rFonts w:hint="eastAsia" w:cs="Times New Roman"/>
                <w:sz w:val="15"/>
                <w:szCs w:val="15"/>
                <w:lang w:val="zh-CN" w:bidi="zh-CN"/>
              </w:rPr>
              <w:t>55</w:t>
            </w:r>
            <w:r>
              <w:rPr>
                <w:rFonts w:cs="Times New Roman"/>
                <w:sz w:val="15"/>
                <w:szCs w:val="15"/>
                <w:lang w:val="zh-CN" w:bidi="zh-CN"/>
              </w:rPr>
              <w:t xml:space="preserve">                    30s</w:t>
            </w:r>
          </w:p>
        </w:tc>
        <w:tc>
          <w:tcPr>
            <w:tcW w:w="2390" w:type="dxa"/>
            <w:shd w:val="clear" w:color="auto" w:fill="auto"/>
            <w:vAlign w:val="center"/>
          </w:tcPr>
          <w:p w14:paraId="570E795E">
            <w:pPr>
              <w:pStyle w:val="67"/>
              <w:spacing w:line="240" w:lineRule="auto"/>
              <w:ind w:firstLine="220"/>
              <w:jc w:val="center"/>
              <w:rPr>
                <w:rFonts w:ascii="Times New Roman" w:hAnsi="Times New Roman" w:eastAsia="Times New Roman" w:cs="Times New Roman"/>
                <w:sz w:val="15"/>
                <w:szCs w:val="15"/>
                <w:lang w:val="zh-CN" w:bidi="zh-CN"/>
              </w:rPr>
            </w:pPr>
          </w:p>
        </w:tc>
      </w:tr>
      <w:tr w14:paraId="5E0E8BA3">
        <w:tblPrEx>
          <w:tblCellMar>
            <w:top w:w="0" w:type="dxa"/>
            <w:left w:w="10" w:type="dxa"/>
            <w:bottom w:w="0" w:type="dxa"/>
            <w:right w:w="10" w:type="dxa"/>
          </w:tblCellMar>
        </w:tblPrEx>
        <w:trPr>
          <w:trHeight w:val="322" w:hRule="exact"/>
          <w:jc w:val="center"/>
        </w:trPr>
        <w:tc>
          <w:tcPr>
            <w:tcW w:w="1747" w:type="dxa"/>
            <w:tcBorders>
              <w:bottom w:val="single" w:color="auto" w:sz="4" w:space="0"/>
            </w:tcBorders>
            <w:shd w:val="clear" w:color="auto" w:fill="auto"/>
            <w:vAlign w:val="center"/>
          </w:tcPr>
          <w:p w14:paraId="45076E97">
            <w:pPr>
              <w:pStyle w:val="67"/>
              <w:spacing w:line="240" w:lineRule="auto"/>
              <w:ind w:firstLine="520"/>
              <w:jc w:val="center"/>
              <w:rPr>
                <w:sz w:val="15"/>
                <w:szCs w:val="15"/>
              </w:rPr>
            </w:pPr>
            <w:r>
              <w:rPr>
                <w:rFonts w:hint="eastAsia"/>
                <w:sz w:val="15"/>
                <w:szCs w:val="15"/>
                <w:lang w:val="zh-CN" w:bidi="zh-CN"/>
              </w:rPr>
              <w:t>延伸</w:t>
            </w:r>
          </w:p>
        </w:tc>
        <w:tc>
          <w:tcPr>
            <w:tcW w:w="3595" w:type="dxa"/>
            <w:tcBorders>
              <w:bottom w:val="single" w:color="auto" w:sz="4" w:space="0"/>
            </w:tcBorders>
            <w:shd w:val="clear" w:color="auto" w:fill="auto"/>
            <w:vAlign w:val="center"/>
          </w:tcPr>
          <w:p w14:paraId="72949BAC">
            <w:pPr>
              <w:pStyle w:val="67"/>
              <w:tabs>
                <w:tab w:val="left" w:pos="2185"/>
              </w:tabs>
              <w:spacing w:line="240" w:lineRule="auto"/>
              <w:ind w:firstLine="500"/>
              <w:jc w:val="center"/>
              <w:rPr>
                <w:sz w:val="15"/>
                <w:szCs w:val="15"/>
              </w:rPr>
            </w:pPr>
            <w:r>
              <w:rPr>
                <w:rFonts w:ascii="Times New Roman" w:hAnsi="Times New Roman" w:cs="Times New Roman"/>
                <w:sz w:val="15"/>
                <w:szCs w:val="15"/>
                <w:lang w:val="zh-CN" w:bidi="zh-CN"/>
              </w:rPr>
              <w:t>72</w:t>
            </w:r>
            <w:r>
              <w:rPr>
                <w:rFonts w:ascii="Times New Roman" w:hAnsi="Times New Roman" w:eastAsia="Times New Roman" w:cs="Times New Roman"/>
                <w:sz w:val="15"/>
                <w:szCs w:val="15"/>
                <w:lang w:val="zh-CN" w:bidi="zh-CN"/>
              </w:rPr>
              <w:tab/>
            </w:r>
            <w:r>
              <w:rPr>
                <w:rFonts w:hint="eastAsia" w:ascii="Times New Roman" w:hAnsi="Times New Roman" w:cs="Times New Roman"/>
                <w:sz w:val="15"/>
                <w:szCs w:val="15"/>
                <w:lang w:bidi="en-US"/>
              </w:rPr>
              <w:t>1min</w:t>
            </w:r>
          </w:p>
        </w:tc>
        <w:tc>
          <w:tcPr>
            <w:tcW w:w="2390" w:type="dxa"/>
            <w:tcBorders>
              <w:bottom w:val="single" w:color="auto" w:sz="4" w:space="0"/>
            </w:tcBorders>
            <w:shd w:val="clear" w:color="auto" w:fill="auto"/>
            <w:vAlign w:val="center"/>
          </w:tcPr>
          <w:p w14:paraId="31B26B52">
            <w:pPr>
              <w:jc w:val="center"/>
              <w:rPr>
                <w:sz w:val="15"/>
                <w:szCs w:val="15"/>
              </w:rPr>
            </w:pPr>
          </w:p>
        </w:tc>
      </w:tr>
    </w:tbl>
    <w:p w14:paraId="29871DD4">
      <w:pPr>
        <w:spacing w:line="360" w:lineRule="auto"/>
        <w:rPr>
          <w:rFonts w:hint="default" w:ascii="Times New Roman" w:hAnsi="Times New Roman" w:eastAsia="宋体" w:cs="Times New Roman"/>
          <w:sz w:val="21"/>
          <w:lang w:eastAsia="zh-CN"/>
        </w:rPr>
      </w:pPr>
      <w:r>
        <w:rPr>
          <w:rFonts w:hint="default" w:ascii="Times New Roman" w:hAnsi="Times New Roman" w:eastAsia="宋体" w:cs="Times New Roman"/>
          <w:sz w:val="21"/>
          <w:lang w:eastAsia="zh-CN"/>
        </w:rPr>
        <w:t>8.3.3 PCR扩增产物的检测</w:t>
      </w:r>
    </w:p>
    <w:p w14:paraId="7AAC825E">
      <w:pPr>
        <w:spacing w:line="360" w:lineRule="auto"/>
        <w:ind w:firstLine="420" w:firstLineChars="200"/>
        <w:rPr>
          <w:rFonts w:hint="eastAsia" w:ascii="黑体" w:hAnsi="黑体" w:eastAsia="黑体" w:cs="黑体"/>
          <w:color w:val="FF0000"/>
          <w:sz w:val="21"/>
          <w:lang w:eastAsia="zh-CN"/>
        </w:rPr>
      </w:pPr>
      <w:r>
        <w:rPr>
          <w:sz w:val="21"/>
          <w:szCs w:val="21"/>
          <w:lang w:eastAsia="zh-CN"/>
        </w:rPr>
        <w:t>取5</w:t>
      </w:r>
      <w:r>
        <w:rPr>
          <w:sz w:val="21"/>
          <w:szCs w:val="21"/>
        </w:rPr>
        <w:t>μ</w:t>
      </w:r>
      <w:r>
        <w:rPr>
          <w:sz w:val="21"/>
          <w:szCs w:val="21"/>
          <w:lang w:eastAsia="zh-CN"/>
        </w:rPr>
        <w:t>l扩增产物于1.5%琼脂糖凝胶（含0.5</w:t>
      </w:r>
      <w:r>
        <w:rPr>
          <w:color w:val="000000"/>
          <w:sz w:val="21"/>
          <w:szCs w:val="21"/>
          <w:lang w:eastAsia="zh-CN"/>
        </w:rPr>
        <w:t>µ</w:t>
      </w:r>
      <w:r>
        <w:rPr>
          <w:sz w:val="21"/>
          <w:szCs w:val="21"/>
          <w:lang w:eastAsia="zh-CN"/>
        </w:rPr>
        <w:t>g/ml EB）进行电泳鉴定。电泳缓冲液为1×TAE(0.04 mol/L Tris乙酸，0.001 mol/L EDTA，pH8.0)，110V电泳30min，在紫外成像仪下观察PCR产物条带在凝胶中的位置，以100bp DNA ladder Marker为参照物，判定结果。RT-PCR阳性扩增片段进行测序，通过与Genbank 中</w:t>
      </w:r>
      <w:r>
        <w:rPr>
          <w:rFonts w:hint="eastAsia"/>
          <w:sz w:val="21"/>
          <w:szCs w:val="21"/>
          <w:lang w:eastAsia="zh-CN"/>
        </w:rPr>
        <w:t>MRV</w:t>
      </w:r>
      <w:r>
        <w:rPr>
          <w:sz w:val="21"/>
          <w:szCs w:val="21"/>
          <w:lang w:eastAsia="zh-CN"/>
        </w:rPr>
        <w:t>序列进行比对以确定PCR检测的准确性。</w:t>
      </w:r>
    </w:p>
    <w:p w14:paraId="1C4690DF">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8.4</w:t>
      </w:r>
      <w:r>
        <w:rPr>
          <w:rFonts w:hint="eastAsia" w:ascii="黑体" w:hAnsi="黑体" w:eastAsia="黑体" w:cs="黑体"/>
          <w:color w:val="000000"/>
          <w:sz w:val="21"/>
          <w:lang w:val="en-US" w:eastAsia="zh-CN"/>
        </w:rPr>
        <w:t xml:space="preserve"> </w:t>
      </w:r>
      <w:r>
        <w:rPr>
          <w:rFonts w:hint="eastAsia" w:ascii="黑体" w:hAnsi="黑体" w:eastAsia="黑体" w:cs="黑体"/>
          <w:color w:val="000000"/>
          <w:sz w:val="21"/>
          <w:lang w:eastAsia="zh-CN"/>
        </w:rPr>
        <w:t>实时荧光</w:t>
      </w:r>
      <w:r>
        <w:rPr>
          <w:rFonts w:ascii="黑体" w:hAnsi="黑体" w:eastAsia="黑体" w:cs="黑体"/>
          <w:color w:val="000000"/>
          <w:sz w:val="21"/>
          <w:lang w:eastAsia="zh-CN"/>
        </w:rPr>
        <w:t>PCR</w:t>
      </w:r>
    </w:p>
    <w:p w14:paraId="7340F710">
      <w:pPr>
        <w:spacing w:line="360" w:lineRule="auto"/>
        <w:rPr>
          <w:color w:val="000000"/>
          <w:sz w:val="21"/>
          <w:lang w:eastAsia="zh-CN"/>
        </w:rPr>
      </w:pPr>
      <w:r>
        <w:rPr>
          <w:rFonts w:hint="eastAsia"/>
          <w:color w:val="000000"/>
          <w:sz w:val="21"/>
          <w:lang w:eastAsia="zh-CN"/>
        </w:rPr>
        <w:t>8.4.1</w:t>
      </w:r>
      <w:r>
        <w:rPr>
          <w:rFonts w:hint="eastAsia"/>
          <w:color w:val="000000"/>
          <w:sz w:val="21"/>
          <w:lang w:val="en-US" w:eastAsia="zh-CN"/>
        </w:rPr>
        <w:t xml:space="preserve"> </w:t>
      </w:r>
      <w:r>
        <w:rPr>
          <w:rFonts w:hint="eastAsia"/>
          <w:color w:val="000000"/>
          <w:sz w:val="21"/>
          <w:lang w:eastAsia="zh-CN"/>
        </w:rPr>
        <w:t>实时荧光</w:t>
      </w:r>
      <w:r>
        <w:rPr>
          <w:color w:val="000000"/>
          <w:sz w:val="21"/>
          <w:lang w:eastAsia="zh-CN"/>
        </w:rPr>
        <w:t>PCR</w:t>
      </w:r>
      <w:r>
        <w:rPr>
          <w:rFonts w:hint="eastAsia"/>
          <w:color w:val="000000"/>
          <w:sz w:val="21"/>
          <w:lang w:eastAsia="zh-CN"/>
        </w:rPr>
        <w:t>反应体系</w:t>
      </w:r>
    </w:p>
    <w:p w14:paraId="4B4DC0E2">
      <w:pPr>
        <w:spacing w:line="360" w:lineRule="auto"/>
        <w:rPr>
          <w:color w:val="000000"/>
          <w:sz w:val="21"/>
          <w:lang w:eastAsia="zh-CN"/>
        </w:rPr>
      </w:pPr>
      <w:r>
        <w:rPr>
          <w:rFonts w:hint="eastAsia"/>
          <w:color w:val="000000"/>
          <w:sz w:val="21"/>
          <w:lang w:eastAsia="zh-CN"/>
        </w:rPr>
        <w:t xml:space="preserve">    实时荧光</w:t>
      </w:r>
      <w:r>
        <w:rPr>
          <w:color w:val="000000"/>
          <w:sz w:val="21"/>
          <w:lang w:eastAsia="zh-CN"/>
        </w:rPr>
        <w:t>PCR</w:t>
      </w:r>
      <w:r>
        <w:rPr>
          <w:rFonts w:hint="eastAsia"/>
          <w:color w:val="000000"/>
          <w:sz w:val="21"/>
          <w:lang w:eastAsia="zh-CN"/>
        </w:rPr>
        <w:t>反应体系见表7。若使用其他公司实时荧光</w:t>
      </w:r>
      <w:r>
        <w:rPr>
          <w:color w:val="000000"/>
          <w:sz w:val="21"/>
          <w:lang w:eastAsia="zh-CN"/>
        </w:rPr>
        <w:t>PCR</w:t>
      </w:r>
      <w:r>
        <w:rPr>
          <w:rFonts w:hint="eastAsia"/>
          <w:color w:val="000000"/>
          <w:sz w:val="21"/>
          <w:lang w:eastAsia="zh-CN"/>
        </w:rPr>
        <w:t>试剂，应按照其说明书规定的反应</w:t>
      </w:r>
      <w:r>
        <w:rPr>
          <w:color w:val="000000"/>
          <w:sz w:val="21"/>
          <w:lang w:eastAsia="zh-CN"/>
        </w:rPr>
        <w:t xml:space="preserve"> </w:t>
      </w:r>
      <w:r>
        <w:rPr>
          <w:rFonts w:hint="eastAsia"/>
          <w:color w:val="000000"/>
          <w:sz w:val="21"/>
          <w:lang w:eastAsia="zh-CN"/>
        </w:rPr>
        <w:t>体系进行操作。</w:t>
      </w:r>
    </w:p>
    <w:tbl>
      <w:tblPr>
        <w:tblStyle w:val="21"/>
        <w:tblW w:w="0" w:type="auto"/>
        <w:jc w:val="center"/>
        <w:tblLayout w:type="fixed"/>
        <w:tblCellMar>
          <w:top w:w="0" w:type="dxa"/>
          <w:left w:w="10" w:type="dxa"/>
          <w:bottom w:w="0" w:type="dxa"/>
          <w:right w:w="10" w:type="dxa"/>
        </w:tblCellMar>
      </w:tblPr>
      <w:tblGrid>
        <w:gridCol w:w="3312"/>
        <w:gridCol w:w="1982"/>
        <w:gridCol w:w="2866"/>
      </w:tblGrid>
      <w:tr w14:paraId="54B606B7">
        <w:tblPrEx>
          <w:tblCellMar>
            <w:top w:w="0" w:type="dxa"/>
            <w:left w:w="10" w:type="dxa"/>
            <w:bottom w:w="0" w:type="dxa"/>
            <w:right w:w="10" w:type="dxa"/>
          </w:tblCellMar>
        </w:tblPrEx>
        <w:trPr>
          <w:trHeight w:val="274" w:hRule="exact"/>
          <w:jc w:val="center"/>
        </w:trPr>
        <w:tc>
          <w:tcPr>
            <w:tcW w:w="3312" w:type="dxa"/>
            <w:shd w:val="clear" w:color="auto" w:fill="auto"/>
          </w:tcPr>
          <w:p w14:paraId="501DAB89">
            <w:pPr>
              <w:pStyle w:val="67"/>
              <w:spacing w:line="240" w:lineRule="auto"/>
              <w:ind w:firstLine="0"/>
              <w:jc w:val="right"/>
              <w:rPr>
                <w:sz w:val="17"/>
                <w:szCs w:val="17"/>
              </w:rPr>
            </w:pPr>
            <w:r>
              <w:rPr>
                <w:rFonts w:hint="eastAsia"/>
                <w:color w:val="000000"/>
                <w:sz w:val="18"/>
                <w:szCs w:val="18"/>
                <w:lang w:val="zh-CN" w:bidi="zh-CN"/>
              </w:rPr>
              <w:t>表</w:t>
            </w:r>
            <w:r>
              <w:rPr>
                <w:rFonts w:hint="eastAsia" w:ascii="Times New Roman" w:hAnsi="Times New Roman" w:cs="Times New Roman"/>
                <w:b/>
                <w:bCs/>
                <w:color w:val="000000"/>
                <w:sz w:val="17"/>
                <w:szCs w:val="17"/>
                <w:lang w:val="zh-CN" w:bidi="zh-CN"/>
              </w:rPr>
              <w:t>7</w:t>
            </w:r>
          </w:p>
        </w:tc>
        <w:tc>
          <w:tcPr>
            <w:tcW w:w="1982" w:type="dxa"/>
            <w:shd w:val="clear" w:color="auto" w:fill="auto"/>
          </w:tcPr>
          <w:p w14:paraId="006E55AC">
            <w:pPr>
              <w:pStyle w:val="67"/>
              <w:spacing w:line="240" w:lineRule="auto"/>
              <w:ind w:firstLine="0"/>
              <w:rPr>
                <w:sz w:val="18"/>
                <w:szCs w:val="18"/>
              </w:rPr>
            </w:pPr>
            <w:r>
              <w:rPr>
                <w:rFonts w:hint="eastAsia"/>
                <w:color w:val="000000"/>
                <w:sz w:val="18"/>
                <w:szCs w:val="18"/>
                <w:lang w:val="zh-CN" w:bidi="zh-CN"/>
              </w:rPr>
              <w:t>实时荧光</w:t>
            </w:r>
            <w:r>
              <w:rPr>
                <w:rFonts w:ascii="Times New Roman" w:hAnsi="Times New Roman" w:eastAsia="Times New Roman" w:cs="Times New Roman"/>
                <w:b/>
                <w:bCs/>
                <w:color w:val="000000"/>
                <w:sz w:val="17"/>
                <w:szCs w:val="17"/>
                <w:lang w:bidi="en-US"/>
              </w:rPr>
              <w:t>PCR</w:t>
            </w:r>
            <w:r>
              <w:rPr>
                <w:rFonts w:hint="eastAsia"/>
                <w:color w:val="000000"/>
                <w:sz w:val="18"/>
                <w:szCs w:val="18"/>
                <w:lang w:val="zh-CN" w:bidi="zh-CN"/>
              </w:rPr>
              <w:t>反应体系</w:t>
            </w:r>
          </w:p>
        </w:tc>
        <w:tc>
          <w:tcPr>
            <w:tcW w:w="2866" w:type="dxa"/>
            <w:shd w:val="clear" w:color="auto" w:fill="auto"/>
          </w:tcPr>
          <w:p w14:paraId="082D8F4B">
            <w:pPr>
              <w:rPr>
                <w:sz w:val="10"/>
                <w:szCs w:val="10"/>
                <w:lang w:eastAsia="zh-CN"/>
              </w:rPr>
            </w:pPr>
          </w:p>
        </w:tc>
      </w:tr>
      <w:tr w14:paraId="7CBFBA68">
        <w:tblPrEx>
          <w:tblCellMar>
            <w:top w:w="0" w:type="dxa"/>
            <w:left w:w="10" w:type="dxa"/>
            <w:bottom w:w="0" w:type="dxa"/>
            <w:right w:w="10" w:type="dxa"/>
          </w:tblCellMar>
        </w:tblPrEx>
        <w:trPr>
          <w:trHeight w:val="307" w:hRule="exact"/>
          <w:jc w:val="center"/>
        </w:trPr>
        <w:tc>
          <w:tcPr>
            <w:tcW w:w="3312" w:type="dxa"/>
            <w:tcBorders>
              <w:top w:val="single" w:color="auto" w:sz="4" w:space="0"/>
            </w:tcBorders>
            <w:shd w:val="clear" w:color="auto" w:fill="auto"/>
            <w:vAlign w:val="bottom"/>
          </w:tcPr>
          <w:p w14:paraId="1C588708">
            <w:pPr>
              <w:pStyle w:val="67"/>
              <w:spacing w:line="240" w:lineRule="auto"/>
              <w:ind w:firstLine="0"/>
              <w:jc w:val="center"/>
              <w:rPr>
                <w:sz w:val="15"/>
                <w:szCs w:val="15"/>
              </w:rPr>
            </w:pPr>
            <w:r>
              <w:rPr>
                <w:rFonts w:hint="eastAsia"/>
                <w:color w:val="000000"/>
                <w:sz w:val="15"/>
                <w:szCs w:val="15"/>
                <w:lang w:val="zh-CN" w:bidi="zh-CN"/>
              </w:rPr>
              <w:t>反应组分</w:t>
            </w:r>
          </w:p>
        </w:tc>
        <w:tc>
          <w:tcPr>
            <w:tcW w:w="1982" w:type="dxa"/>
            <w:tcBorders>
              <w:top w:val="single" w:color="auto" w:sz="4" w:space="0"/>
            </w:tcBorders>
            <w:shd w:val="clear" w:color="auto" w:fill="auto"/>
            <w:vAlign w:val="bottom"/>
          </w:tcPr>
          <w:p w14:paraId="4C1CBEE2">
            <w:pPr>
              <w:pStyle w:val="67"/>
              <w:spacing w:line="240" w:lineRule="auto"/>
              <w:ind w:firstLine="0"/>
              <w:jc w:val="center"/>
              <w:rPr>
                <w:sz w:val="17"/>
                <w:szCs w:val="17"/>
              </w:rPr>
            </w:pPr>
            <w:r>
              <w:rPr>
                <w:rFonts w:hint="eastAsia"/>
                <w:b/>
                <w:bCs/>
                <w:color w:val="000000"/>
                <w:sz w:val="15"/>
                <w:szCs w:val="15"/>
                <w:lang w:val="zh-CN" w:bidi="zh-CN"/>
              </w:rPr>
              <w:t>用量</w:t>
            </w:r>
            <w:r>
              <w:rPr>
                <w:rFonts w:ascii="Times New Roman" w:hAnsi="Times New Roman" w:eastAsia="Times New Roman" w:cs="Times New Roman"/>
                <w:b/>
                <w:bCs/>
                <w:color w:val="000000"/>
                <w:sz w:val="17"/>
                <w:szCs w:val="17"/>
                <w:lang w:eastAsia="en-US" w:bidi="en-US"/>
              </w:rPr>
              <w:t>/jiL</w:t>
            </w:r>
          </w:p>
        </w:tc>
        <w:tc>
          <w:tcPr>
            <w:tcW w:w="2866" w:type="dxa"/>
            <w:tcBorders>
              <w:top w:val="single" w:color="auto" w:sz="4" w:space="0"/>
            </w:tcBorders>
            <w:shd w:val="clear" w:color="auto" w:fill="auto"/>
            <w:vAlign w:val="bottom"/>
          </w:tcPr>
          <w:p w14:paraId="1A9968A0">
            <w:pPr>
              <w:pStyle w:val="67"/>
              <w:spacing w:line="240" w:lineRule="auto"/>
              <w:ind w:firstLine="0"/>
              <w:jc w:val="center"/>
              <w:rPr>
                <w:sz w:val="15"/>
                <w:szCs w:val="15"/>
              </w:rPr>
            </w:pPr>
            <w:r>
              <w:rPr>
                <w:rFonts w:hint="eastAsia"/>
                <w:color w:val="000000"/>
                <w:sz w:val="15"/>
                <w:szCs w:val="15"/>
                <w:lang w:val="zh-CN" w:bidi="zh-CN"/>
              </w:rPr>
              <w:t>终浓度</w:t>
            </w:r>
          </w:p>
        </w:tc>
      </w:tr>
      <w:tr w14:paraId="0B48A2A8">
        <w:tblPrEx>
          <w:tblCellMar>
            <w:top w:w="0" w:type="dxa"/>
            <w:left w:w="10" w:type="dxa"/>
            <w:bottom w:w="0" w:type="dxa"/>
            <w:right w:w="10" w:type="dxa"/>
          </w:tblCellMar>
        </w:tblPrEx>
        <w:trPr>
          <w:trHeight w:val="326" w:hRule="exact"/>
          <w:jc w:val="center"/>
        </w:trPr>
        <w:tc>
          <w:tcPr>
            <w:tcW w:w="3312" w:type="dxa"/>
            <w:tcBorders>
              <w:top w:val="single" w:color="auto" w:sz="4" w:space="0"/>
            </w:tcBorders>
            <w:shd w:val="clear" w:color="auto" w:fill="auto"/>
            <w:vAlign w:val="center"/>
          </w:tcPr>
          <w:p w14:paraId="5AEF70E6">
            <w:pPr>
              <w:pStyle w:val="67"/>
              <w:spacing w:line="240" w:lineRule="auto"/>
              <w:ind w:firstLine="780"/>
              <w:rPr>
                <w:rFonts w:ascii="Times New Roman" w:hAnsi="Times New Roman" w:cs="Times New Roman"/>
                <w:color w:val="000000"/>
                <w:sz w:val="15"/>
                <w:szCs w:val="15"/>
                <w:lang w:bidi="zh-CN"/>
              </w:rPr>
            </w:pPr>
            <w:r>
              <w:rPr>
                <w:rFonts w:ascii="Times New Roman" w:hAnsi="Times New Roman" w:cs="Times New Roman"/>
                <w:color w:val="000000"/>
                <w:sz w:val="15"/>
                <w:szCs w:val="15"/>
                <w:lang w:bidi="zh-CN"/>
              </w:rPr>
              <w:t>2x</w:t>
            </w:r>
            <w:r>
              <w:rPr>
                <w:rFonts w:hint="eastAsia" w:ascii="Times New Roman" w:hAnsi="Times New Roman" w:cs="Times New Roman"/>
                <w:color w:val="000000"/>
                <w:sz w:val="15"/>
                <w:szCs w:val="15"/>
                <w:lang w:bidi="zh-CN"/>
              </w:rPr>
              <w:t>GoTaq Probe qPCR Master Mix</w:t>
            </w:r>
          </w:p>
        </w:tc>
        <w:tc>
          <w:tcPr>
            <w:tcW w:w="1982" w:type="dxa"/>
            <w:tcBorders>
              <w:top w:val="single" w:color="auto" w:sz="4" w:space="0"/>
            </w:tcBorders>
            <w:shd w:val="clear" w:color="auto" w:fill="auto"/>
            <w:vAlign w:val="center"/>
          </w:tcPr>
          <w:p w14:paraId="56A8C8FA">
            <w:pPr>
              <w:pStyle w:val="67"/>
              <w:spacing w:line="240" w:lineRule="auto"/>
              <w:ind w:firstLine="780"/>
              <w:rPr>
                <w:rFonts w:ascii="Times New Roman" w:hAnsi="Times New Roman" w:cs="Times New Roman"/>
                <w:color w:val="000000"/>
                <w:sz w:val="15"/>
                <w:szCs w:val="15"/>
                <w:lang w:val="zh-CN" w:bidi="zh-CN"/>
              </w:rPr>
            </w:pPr>
            <w:r>
              <w:rPr>
                <w:rFonts w:ascii="Times New Roman" w:hAnsi="Times New Roman" w:cs="Times New Roman"/>
                <w:color w:val="000000"/>
                <w:sz w:val="15"/>
                <w:szCs w:val="15"/>
                <w:lang w:val="zh-CN" w:bidi="zh-CN"/>
              </w:rPr>
              <w:t>10</w:t>
            </w:r>
          </w:p>
        </w:tc>
        <w:tc>
          <w:tcPr>
            <w:tcW w:w="2866" w:type="dxa"/>
            <w:tcBorders>
              <w:top w:val="single" w:color="auto" w:sz="4" w:space="0"/>
            </w:tcBorders>
            <w:shd w:val="clear" w:color="auto" w:fill="auto"/>
            <w:vAlign w:val="center"/>
          </w:tcPr>
          <w:p w14:paraId="079C7EB4">
            <w:pPr>
              <w:pStyle w:val="67"/>
              <w:spacing w:line="240" w:lineRule="auto"/>
              <w:ind w:firstLine="780"/>
              <w:jc w:val="both"/>
              <w:rPr>
                <w:rFonts w:ascii="Times New Roman" w:hAnsi="Times New Roman" w:cs="Times New Roman"/>
                <w:color w:val="000000"/>
                <w:sz w:val="15"/>
                <w:szCs w:val="15"/>
                <w:lang w:val="zh-CN" w:bidi="zh-CN"/>
              </w:rPr>
            </w:pPr>
            <w:r>
              <w:rPr>
                <w:rFonts w:ascii="Times New Roman" w:hAnsi="Times New Roman" w:cs="Times New Roman"/>
                <w:color w:val="000000"/>
                <w:sz w:val="15"/>
                <w:szCs w:val="15"/>
                <w:lang w:val="zh-CN" w:bidi="zh-CN"/>
              </w:rPr>
              <w:t>1X</w:t>
            </w:r>
          </w:p>
        </w:tc>
      </w:tr>
      <w:tr w14:paraId="1E7018AD">
        <w:tblPrEx>
          <w:tblCellMar>
            <w:top w:w="0" w:type="dxa"/>
            <w:left w:w="10" w:type="dxa"/>
            <w:bottom w:w="0" w:type="dxa"/>
            <w:right w:w="10" w:type="dxa"/>
          </w:tblCellMar>
        </w:tblPrEx>
        <w:trPr>
          <w:trHeight w:val="278" w:hRule="exact"/>
          <w:jc w:val="center"/>
        </w:trPr>
        <w:tc>
          <w:tcPr>
            <w:tcW w:w="3312" w:type="dxa"/>
            <w:shd w:val="clear" w:color="auto" w:fill="auto"/>
          </w:tcPr>
          <w:p w14:paraId="73891AF8">
            <w:pPr>
              <w:pStyle w:val="67"/>
              <w:spacing w:line="240" w:lineRule="auto"/>
              <w:ind w:firstLine="780"/>
              <w:rPr>
                <w:rFonts w:ascii="Times New Roman" w:hAnsi="Times New Roman" w:cs="Times New Roman"/>
                <w:color w:val="000000"/>
                <w:sz w:val="15"/>
                <w:szCs w:val="15"/>
                <w:lang w:bidi="zh-CN"/>
              </w:rPr>
            </w:pPr>
            <w:r>
              <w:rPr>
                <w:rFonts w:hint="eastAsia" w:ascii="Times New Roman" w:hAnsi="Times New Roman" w:cs="Times New Roman"/>
                <w:color w:val="000000"/>
                <w:sz w:val="15"/>
                <w:szCs w:val="15"/>
                <w:lang w:val="zh-CN" w:bidi="zh-CN"/>
              </w:rPr>
              <w:t>正向引物</w:t>
            </w:r>
            <w:r>
              <w:rPr>
                <w:rFonts w:ascii="Times New Roman" w:hAnsi="Times New Roman" w:cs="Times New Roman"/>
                <w:color w:val="000000"/>
                <w:sz w:val="15"/>
                <w:szCs w:val="15"/>
                <w:lang w:bidi="zh-CN"/>
              </w:rPr>
              <w:t>(l</w:t>
            </w:r>
            <w:r>
              <w:rPr>
                <w:rFonts w:hint="eastAsia" w:ascii="Times New Roman" w:hAnsi="Times New Roman" w:cs="Times New Roman"/>
                <w:color w:val="000000"/>
                <w:sz w:val="15"/>
                <w:szCs w:val="15"/>
                <w:lang w:bidi="zh-CN"/>
              </w:rPr>
              <w:t>0</w:t>
            </w:r>
            <w:r>
              <w:rPr>
                <w:rFonts w:ascii="Times New Roman" w:hAnsi="Times New Roman" w:cs="Times New Roman"/>
                <w:color w:val="000000"/>
                <w:sz w:val="15"/>
                <w:szCs w:val="15"/>
                <w:lang w:bidi="zh-CN"/>
              </w:rPr>
              <w:t>µmol/L)</w:t>
            </w:r>
          </w:p>
        </w:tc>
        <w:tc>
          <w:tcPr>
            <w:tcW w:w="1982" w:type="dxa"/>
            <w:shd w:val="clear" w:color="auto" w:fill="auto"/>
          </w:tcPr>
          <w:p w14:paraId="28FBE752">
            <w:pPr>
              <w:pStyle w:val="67"/>
              <w:spacing w:line="240" w:lineRule="auto"/>
              <w:ind w:firstLine="780"/>
              <w:rPr>
                <w:rFonts w:ascii="Times New Roman" w:hAnsi="Times New Roman" w:cs="Times New Roman"/>
                <w:color w:val="000000"/>
                <w:sz w:val="15"/>
                <w:szCs w:val="15"/>
                <w:lang w:val="zh-CN" w:bidi="zh-CN"/>
              </w:rPr>
            </w:pPr>
            <w:r>
              <w:rPr>
                <w:rFonts w:ascii="Times New Roman" w:hAnsi="Times New Roman" w:cs="Times New Roman"/>
                <w:color w:val="000000"/>
                <w:sz w:val="15"/>
                <w:szCs w:val="15"/>
                <w:lang w:val="zh-CN" w:bidi="zh-CN"/>
              </w:rPr>
              <w:t>0.</w:t>
            </w:r>
            <w:r>
              <w:rPr>
                <w:rFonts w:hint="eastAsia" w:ascii="Times New Roman" w:hAnsi="Times New Roman" w:cs="Times New Roman"/>
                <w:color w:val="000000"/>
                <w:sz w:val="15"/>
                <w:szCs w:val="15"/>
                <w:lang w:val="zh-CN" w:bidi="zh-CN"/>
              </w:rPr>
              <w:t>4</w:t>
            </w:r>
          </w:p>
        </w:tc>
        <w:tc>
          <w:tcPr>
            <w:tcW w:w="2866" w:type="dxa"/>
            <w:shd w:val="clear" w:color="auto" w:fill="auto"/>
          </w:tcPr>
          <w:p w14:paraId="0E0038C4">
            <w:pPr>
              <w:pStyle w:val="67"/>
              <w:spacing w:line="240" w:lineRule="auto"/>
              <w:ind w:firstLine="780"/>
              <w:jc w:val="both"/>
              <w:rPr>
                <w:rFonts w:ascii="Times New Roman" w:hAnsi="Times New Roman" w:cs="Times New Roman"/>
                <w:color w:val="000000"/>
                <w:sz w:val="15"/>
                <w:szCs w:val="15"/>
                <w:lang w:val="zh-CN" w:bidi="zh-CN"/>
              </w:rPr>
            </w:pPr>
            <w:r>
              <w:rPr>
                <w:rFonts w:hint="eastAsia" w:ascii="Times New Roman" w:hAnsi="Times New Roman" w:cs="Times New Roman"/>
                <w:color w:val="000000"/>
                <w:sz w:val="15"/>
                <w:szCs w:val="15"/>
                <w:lang w:val="zh-CN" w:bidi="zh-CN"/>
              </w:rPr>
              <w:t>2</w:t>
            </w:r>
            <w:r>
              <w:rPr>
                <w:rFonts w:ascii="Times New Roman" w:hAnsi="Times New Roman" w:cs="Times New Roman"/>
                <w:color w:val="000000"/>
                <w:sz w:val="15"/>
                <w:szCs w:val="15"/>
                <w:lang w:val="zh-CN" w:bidi="zh-CN"/>
              </w:rPr>
              <w:t>00 nmol/L</w:t>
            </w:r>
          </w:p>
        </w:tc>
      </w:tr>
      <w:tr w14:paraId="55F7F7DD">
        <w:tblPrEx>
          <w:tblCellMar>
            <w:top w:w="0" w:type="dxa"/>
            <w:left w:w="10" w:type="dxa"/>
            <w:bottom w:w="0" w:type="dxa"/>
            <w:right w:w="10" w:type="dxa"/>
          </w:tblCellMar>
        </w:tblPrEx>
        <w:trPr>
          <w:trHeight w:val="283" w:hRule="exact"/>
          <w:jc w:val="center"/>
        </w:trPr>
        <w:tc>
          <w:tcPr>
            <w:tcW w:w="3312" w:type="dxa"/>
            <w:shd w:val="clear" w:color="auto" w:fill="auto"/>
          </w:tcPr>
          <w:p w14:paraId="69672040">
            <w:pPr>
              <w:pStyle w:val="67"/>
              <w:spacing w:line="240" w:lineRule="auto"/>
              <w:ind w:firstLine="780"/>
              <w:rPr>
                <w:rFonts w:ascii="Times New Roman" w:hAnsi="Times New Roman" w:cs="Times New Roman"/>
                <w:color w:val="000000"/>
                <w:sz w:val="15"/>
                <w:szCs w:val="15"/>
                <w:lang w:val="zh-CN" w:bidi="zh-CN"/>
              </w:rPr>
            </w:pPr>
            <w:r>
              <w:rPr>
                <w:rFonts w:hint="eastAsia" w:ascii="Times New Roman" w:hAnsi="Times New Roman" w:cs="Times New Roman"/>
                <w:color w:val="000000"/>
                <w:sz w:val="15"/>
                <w:szCs w:val="15"/>
                <w:lang w:val="zh-CN" w:bidi="zh-CN"/>
              </w:rPr>
              <w:t>反向引物</w:t>
            </w:r>
            <w:r>
              <w:rPr>
                <w:rFonts w:ascii="Times New Roman" w:hAnsi="Times New Roman" w:cs="Times New Roman"/>
                <w:color w:val="000000"/>
                <w:sz w:val="15"/>
                <w:szCs w:val="15"/>
                <w:lang w:val="zh-CN" w:bidi="zh-CN"/>
              </w:rPr>
              <w:t>(10µmol/L)</w:t>
            </w:r>
          </w:p>
        </w:tc>
        <w:tc>
          <w:tcPr>
            <w:tcW w:w="1982" w:type="dxa"/>
            <w:shd w:val="clear" w:color="auto" w:fill="auto"/>
          </w:tcPr>
          <w:p w14:paraId="14F7451A">
            <w:pPr>
              <w:pStyle w:val="67"/>
              <w:spacing w:line="240" w:lineRule="auto"/>
              <w:ind w:firstLine="780"/>
              <w:rPr>
                <w:rFonts w:ascii="Times New Roman" w:hAnsi="Times New Roman" w:cs="Times New Roman"/>
                <w:color w:val="000000"/>
                <w:sz w:val="15"/>
                <w:szCs w:val="15"/>
                <w:lang w:val="zh-CN" w:bidi="zh-CN"/>
              </w:rPr>
            </w:pPr>
            <w:r>
              <w:rPr>
                <w:rFonts w:ascii="Times New Roman" w:hAnsi="Times New Roman" w:cs="Times New Roman"/>
                <w:color w:val="000000"/>
                <w:sz w:val="15"/>
                <w:szCs w:val="15"/>
                <w:lang w:val="zh-CN" w:bidi="zh-CN"/>
              </w:rPr>
              <w:t>0.</w:t>
            </w:r>
            <w:r>
              <w:rPr>
                <w:rFonts w:hint="eastAsia" w:ascii="Times New Roman" w:hAnsi="Times New Roman" w:cs="Times New Roman"/>
                <w:color w:val="000000"/>
                <w:sz w:val="15"/>
                <w:szCs w:val="15"/>
                <w:lang w:val="zh-CN" w:bidi="zh-CN"/>
              </w:rPr>
              <w:t>4</w:t>
            </w:r>
          </w:p>
        </w:tc>
        <w:tc>
          <w:tcPr>
            <w:tcW w:w="2866" w:type="dxa"/>
            <w:shd w:val="clear" w:color="auto" w:fill="auto"/>
          </w:tcPr>
          <w:p w14:paraId="1901C4E0">
            <w:pPr>
              <w:pStyle w:val="67"/>
              <w:spacing w:line="240" w:lineRule="auto"/>
              <w:ind w:firstLine="780"/>
              <w:jc w:val="both"/>
              <w:rPr>
                <w:rFonts w:ascii="Times New Roman" w:hAnsi="Times New Roman" w:cs="Times New Roman"/>
                <w:color w:val="000000"/>
                <w:sz w:val="15"/>
                <w:szCs w:val="15"/>
                <w:lang w:val="zh-CN" w:bidi="zh-CN"/>
              </w:rPr>
            </w:pPr>
            <w:r>
              <w:rPr>
                <w:rFonts w:hint="eastAsia" w:ascii="Times New Roman" w:hAnsi="Times New Roman" w:cs="Times New Roman"/>
                <w:color w:val="000000"/>
                <w:sz w:val="15"/>
                <w:szCs w:val="15"/>
                <w:lang w:val="zh-CN" w:bidi="zh-CN"/>
              </w:rPr>
              <w:t>2</w:t>
            </w:r>
            <w:r>
              <w:rPr>
                <w:rFonts w:ascii="Times New Roman" w:hAnsi="Times New Roman" w:cs="Times New Roman"/>
                <w:color w:val="000000"/>
                <w:sz w:val="15"/>
                <w:szCs w:val="15"/>
                <w:lang w:val="zh-CN" w:bidi="zh-CN"/>
              </w:rPr>
              <w:t>00 nmol/L</w:t>
            </w:r>
          </w:p>
        </w:tc>
      </w:tr>
      <w:tr w14:paraId="5A861B4B">
        <w:tblPrEx>
          <w:tblCellMar>
            <w:top w:w="0" w:type="dxa"/>
            <w:left w:w="10" w:type="dxa"/>
            <w:bottom w:w="0" w:type="dxa"/>
            <w:right w:w="10" w:type="dxa"/>
          </w:tblCellMar>
        </w:tblPrEx>
        <w:trPr>
          <w:trHeight w:val="283" w:hRule="exact"/>
          <w:jc w:val="center"/>
        </w:trPr>
        <w:tc>
          <w:tcPr>
            <w:tcW w:w="3312" w:type="dxa"/>
            <w:shd w:val="clear" w:color="auto" w:fill="auto"/>
            <w:vAlign w:val="center"/>
          </w:tcPr>
          <w:p w14:paraId="0EEFC003">
            <w:pPr>
              <w:pStyle w:val="67"/>
              <w:spacing w:line="240" w:lineRule="auto"/>
              <w:ind w:firstLine="780"/>
              <w:rPr>
                <w:rFonts w:ascii="Times New Roman" w:hAnsi="Times New Roman" w:cs="Times New Roman"/>
                <w:color w:val="000000"/>
                <w:sz w:val="15"/>
                <w:szCs w:val="15"/>
                <w:lang w:val="zh-CN" w:bidi="zh-CN"/>
              </w:rPr>
            </w:pPr>
            <w:r>
              <w:rPr>
                <w:rFonts w:hint="eastAsia" w:ascii="Times New Roman" w:hAnsi="Times New Roman" w:cs="Times New Roman"/>
                <w:color w:val="000000"/>
                <w:sz w:val="15"/>
                <w:szCs w:val="15"/>
                <w:lang w:val="zh-CN" w:bidi="zh-CN"/>
              </w:rPr>
              <w:t>探针</w:t>
            </w:r>
            <w:r>
              <w:rPr>
                <w:rFonts w:ascii="Times New Roman" w:hAnsi="Times New Roman" w:cs="Times New Roman"/>
                <w:color w:val="000000"/>
                <w:sz w:val="15"/>
                <w:szCs w:val="15"/>
                <w:lang w:val="zh-CN" w:bidi="zh-CN"/>
              </w:rPr>
              <w:t>(</w:t>
            </w:r>
            <w:r>
              <w:rPr>
                <w:rFonts w:hint="eastAsia" w:ascii="Times New Roman" w:hAnsi="Times New Roman" w:cs="Times New Roman"/>
                <w:color w:val="000000"/>
                <w:sz w:val="15"/>
                <w:szCs w:val="15"/>
                <w:lang w:val="zh-CN" w:bidi="zh-CN"/>
              </w:rPr>
              <w:t>10</w:t>
            </w:r>
            <w:r>
              <w:rPr>
                <w:rFonts w:ascii="Times New Roman" w:hAnsi="Times New Roman" w:cs="Times New Roman"/>
                <w:color w:val="000000"/>
                <w:sz w:val="15"/>
                <w:szCs w:val="15"/>
                <w:lang w:val="zh-CN" w:bidi="zh-CN"/>
              </w:rPr>
              <w:t xml:space="preserve"> pmol/L)</w:t>
            </w:r>
          </w:p>
        </w:tc>
        <w:tc>
          <w:tcPr>
            <w:tcW w:w="1982" w:type="dxa"/>
            <w:shd w:val="clear" w:color="auto" w:fill="auto"/>
            <w:vAlign w:val="center"/>
          </w:tcPr>
          <w:p w14:paraId="0F8143E0">
            <w:pPr>
              <w:pStyle w:val="67"/>
              <w:spacing w:line="240" w:lineRule="auto"/>
              <w:ind w:firstLine="780"/>
              <w:rPr>
                <w:rFonts w:ascii="Times New Roman" w:hAnsi="Times New Roman" w:cs="Times New Roman"/>
                <w:color w:val="000000"/>
                <w:sz w:val="15"/>
                <w:szCs w:val="15"/>
                <w:lang w:val="zh-CN" w:bidi="zh-CN"/>
              </w:rPr>
            </w:pPr>
            <w:r>
              <w:rPr>
                <w:rFonts w:hint="eastAsia" w:ascii="Times New Roman" w:hAnsi="Times New Roman" w:cs="Times New Roman"/>
                <w:color w:val="000000"/>
                <w:sz w:val="15"/>
                <w:szCs w:val="15"/>
                <w:lang w:val="zh-CN" w:bidi="zh-CN"/>
              </w:rPr>
              <w:t>0.2</w:t>
            </w:r>
          </w:p>
        </w:tc>
        <w:tc>
          <w:tcPr>
            <w:tcW w:w="2866" w:type="dxa"/>
            <w:shd w:val="clear" w:color="auto" w:fill="auto"/>
            <w:vAlign w:val="center"/>
          </w:tcPr>
          <w:p w14:paraId="5B36ACDB">
            <w:pPr>
              <w:pStyle w:val="67"/>
              <w:spacing w:line="240" w:lineRule="auto"/>
              <w:ind w:firstLine="780"/>
              <w:jc w:val="both"/>
              <w:rPr>
                <w:rFonts w:ascii="Times New Roman" w:hAnsi="Times New Roman" w:cs="Times New Roman"/>
                <w:color w:val="000000"/>
                <w:sz w:val="15"/>
                <w:szCs w:val="15"/>
                <w:lang w:val="zh-CN" w:bidi="zh-CN"/>
              </w:rPr>
            </w:pPr>
            <w:r>
              <w:rPr>
                <w:rFonts w:hint="eastAsia" w:ascii="Times New Roman" w:hAnsi="Times New Roman" w:cs="Times New Roman"/>
                <w:color w:val="000000"/>
                <w:sz w:val="15"/>
                <w:szCs w:val="15"/>
                <w:lang w:val="zh-CN" w:bidi="zh-CN"/>
              </w:rPr>
              <w:t>10</w:t>
            </w:r>
            <w:r>
              <w:rPr>
                <w:rFonts w:ascii="Times New Roman" w:hAnsi="Times New Roman" w:cs="Times New Roman"/>
                <w:color w:val="000000"/>
                <w:sz w:val="15"/>
                <w:szCs w:val="15"/>
                <w:lang w:val="zh-CN" w:bidi="zh-CN"/>
              </w:rPr>
              <w:t>0 nmol/L</w:t>
            </w:r>
          </w:p>
        </w:tc>
      </w:tr>
      <w:tr w14:paraId="44C040CB">
        <w:tblPrEx>
          <w:tblCellMar>
            <w:top w:w="0" w:type="dxa"/>
            <w:left w:w="10" w:type="dxa"/>
            <w:bottom w:w="0" w:type="dxa"/>
            <w:right w:w="10" w:type="dxa"/>
          </w:tblCellMar>
        </w:tblPrEx>
        <w:trPr>
          <w:trHeight w:val="269" w:hRule="exact"/>
          <w:jc w:val="center"/>
        </w:trPr>
        <w:tc>
          <w:tcPr>
            <w:tcW w:w="3312" w:type="dxa"/>
            <w:shd w:val="clear" w:color="auto" w:fill="auto"/>
          </w:tcPr>
          <w:p w14:paraId="0E612BCB">
            <w:pPr>
              <w:pStyle w:val="67"/>
              <w:spacing w:line="240" w:lineRule="auto"/>
              <w:ind w:firstLine="780"/>
              <w:rPr>
                <w:rFonts w:ascii="Times New Roman" w:hAnsi="Times New Roman" w:cs="Times New Roman"/>
                <w:color w:val="000000"/>
                <w:sz w:val="15"/>
                <w:szCs w:val="15"/>
                <w:lang w:bidi="zh-CN"/>
              </w:rPr>
            </w:pPr>
            <w:r>
              <w:rPr>
                <w:rFonts w:hint="eastAsia" w:ascii="Times New Roman" w:hAnsi="Times New Roman" w:cs="Times New Roman"/>
                <w:color w:val="000000"/>
                <w:sz w:val="15"/>
                <w:szCs w:val="15"/>
                <w:lang w:bidi="zh-CN"/>
              </w:rPr>
              <w:t xml:space="preserve">CXR Reference Dye </w:t>
            </w:r>
            <w:r>
              <w:rPr>
                <w:rFonts w:ascii="Times New Roman" w:hAnsi="Times New Roman" w:cs="Times New Roman"/>
                <w:color w:val="000000"/>
                <w:sz w:val="15"/>
                <w:szCs w:val="15"/>
                <w:lang w:bidi="zh-CN"/>
              </w:rPr>
              <w:t xml:space="preserve">( </w:t>
            </w:r>
            <w:r>
              <w:rPr>
                <w:rFonts w:hint="eastAsia" w:ascii="Times New Roman" w:hAnsi="Times New Roman" w:cs="Times New Roman"/>
                <w:color w:val="000000"/>
                <w:sz w:val="15"/>
                <w:szCs w:val="15"/>
                <w:lang w:bidi="zh-CN"/>
              </w:rPr>
              <w:t>30µM</w:t>
            </w:r>
            <w:r>
              <w:rPr>
                <w:rFonts w:ascii="Times New Roman" w:hAnsi="Times New Roman" w:cs="Times New Roman"/>
                <w:color w:val="000000"/>
                <w:sz w:val="15"/>
                <w:szCs w:val="15"/>
                <w:lang w:bidi="zh-CN"/>
              </w:rPr>
              <w:t>)</w:t>
            </w:r>
          </w:p>
        </w:tc>
        <w:tc>
          <w:tcPr>
            <w:tcW w:w="1982" w:type="dxa"/>
            <w:shd w:val="clear" w:color="auto" w:fill="auto"/>
          </w:tcPr>
          <w:p w14:paraId="5920C6D1">
            <w:pPr>
              <w:pStyle w:val="67"/>
              <w:spacing w:line="240" w:lineRule="auto"/>
              <w:ind w:firstLine="780"/>
              <w:rPr>
                <w:rFonts w:ascii="Times New Roman" w:hAnsi="Times New Roman" w:cs="Times New Roman"/>
                <w:color w:val="000000"/>
                <w:sz w:val="15"/>
                <w:szCs w:val="15"/>
                <w:lang w:val="zh-CN" w:bidi="zh-CN"/>
              </w:rPr>
            </w:pPr>
            <w:r>
              <w:rPr>
                <w:rFonts w:hint="eastAsia" w:ascii="Times New Roman" w:hAnsi="Times New Roman" w:cs="Times New Roman"/>
                <w:color w:val="000000"/>
                <w:sz w:val="15"/>
                <w:szCs w:val="15"/>
                <w:lang w:val="zh-CN" w:bidi="zh-CN"/>
              </w:rPr>
              <w:t>0.02</w:t>
            </w:r>
          </w:p>
        </w:tc>
        <w:tc>
          <w:tcPr>
            <w:tcW w:w="2866" w:type="dxa"/>
            <w:shd w:val="clear" w:color="auto" w:fill="auto"/>
          </w:tcPr>
          <w:p w14:paraId="5CCD7B97">
            <w:pPr>
              <w:ind w:firstLine="780"/>
              <w:rPr>
                <w:color w:val="000000"/>
                <w:sz w:val="15"/>
                <w:szCs w:val="15"/>
                <w:lang w:val="zh-CN" w:eastAsia="zh-CN" w:bidi="zh-CN"/>
              </w:rPr>
            </w:pPr>
            <w:r>
              <w:rPr>
                <w:rFonts w:hint="eastAsia"/>
                <w:color w:val="000000"/>
                <w:sz w:val="15"/>
                <w:szCs w:val="15"/>
                <w:lang w:val="zh-CN" w:eastAsia="zh-CN" w:bidi="zh-CN"/>
              </w:rPr>
              <w:t>30nM</w:t>
            </w:r>
          </w:p>
        </w:tc>
      </w:tr>
      <w:tr w14:paraId="0D206652">
        <w:tblPrEx>
          <w:tblCellMar>
            <w:top w:w="0" w:type="dxa"/>
            <w:left w:w="10" w:type="dxa"/>
            <w:bottom w:w="0" w:type="dxa"/>
            <w:right w:w="10" w:type="dxa"/>
          </w:tblCellMar>
        </w:tblPrEx>
        <w:trPr>
          <w:trHeight w:val="293" w:hRule="exact"/>
          <w:jc w:val="center"/>
        </w:trPr>
        <w:tc>
          <w:tcPr>
            <w:tcW w:w="3312" w:type="dxa"/>
            <w:shd w:val="clear" w:color="auto" w:fill="auto"/>
            <w:vAlign w:val="bottom"/>
          </w:tcPr>
          <w:p w14:paraId="18559CB7">
            <w:pPr>
              <w:pStyle w:val="67"/>
              <w:spacing w:line="240" w:lineRule="auto"/>
              <w:ind w:firstLine="780"/>
              <w:rPr>
                <w:rFonts w:ascii="Times New Roman" w:hAnsi="Times New Roman" w:cs="Times New Roman"/>
                <w:color w:val="000000"/>
                <w:sz w:val="15"/>
                <w:szCs w:val="15"/>
                <w:lang w:val="zh-CN" w:bidi="zh-CN"/>
              </w:rPr>
            </w:pPr>
            <w:r>
              <w:rPr>
                <w:rFonts w:ascii="Times New Roman" w:hAnsi="Times New Roman" w:cs="Times New Roman"/>
                <w:color w:val="000000"/>
                <w:sz w:val="15"/>
                <w:szCs w:val="15"/>
                <w:lang w:val="zh-CN" w:bidi="zh-CN"/>
              </w:rPr>
              <w:t>cDNA</w:t>
            </w:r>
            <w:r>
              <w:rPr>
                <w:rFonts w:hint="eastAsia" w:ascii="Times New Roman" w:hAnsi="Times New Roman" w:cs="Times New Roman"/>
                <w:color w:val="000000"/>
                <w:sz w:val="15"/>
                <w:szCs w:val="15"/>
                <w:lang w:val="zh-CN" w:bidi="zh-CN"/>
              </w:rPr>
              <w:t>模板</w:t>
            </w:r>
          </w:p>
        </w:tc>
        <w:tc>
          <w:tcPr>
            <w:tcW w:w="1982" w:type="dxa"/>
            <w:shd w:val="clear" w:color="auto" w:fill="auto"/>
            <w:vAlign w:val="bottom"/>
          </w:tcPr>
          <w:p w14:paraId="10C4D46B">
            <w:pPr>
              <w:pStyle w:val="67"/>
              <w:spacing w:line="240" w:lineRule="auto"/>
              <w:ind w:firstLine="780"/>
              <w:rPr>
                <w:rFonts w:ascii="Times New Roman" w:hAnsi="Times New Roman" w:cs="Times New Roman"/>
                <w:color w:val="000000"/>
                <w:sz w:val="15"/>
                <w:szCs w:val="15"/>
                <w:lang w:val="zh-CN" w:bidi="zh-CN"/>
              </w:rPr>
            </w:pPr>
            <w:r>
              <w:rPr>
                <w:rFonts w:ascii="Times New Roman" w:hAnsi="Times New Roman" w:cs="Times New Roman"/>
                <w:color w:val="000000"/>
                <w:sz w:val="15"/>
                <w:szCs w:val="15"/>
                <w:lang w:val="zh-CN" w:bidi="zh-CN"/>
              </w:rPr>
              <w:t>2</w:t>
            </w:r>
          </w:p>
        </w:tc>
        <w:tc>
          <w:tcPr>
            <w:tcW w:w="2866" w:type="dxa"/>
            <w:shd w:val="clear" w:color="auto" w:fill="auto"/>
          </w:tcPr>
          <w:p w14:paraId="73396206">
            <w:pPr>
              <w:ind w:firstLine="780"/>
              <w:rPr>
                <w:color w:val="000000"/>
                <w:sz w:val="15"/>
                <w:szCs w:val="15"/>
                <w:lang w:val="zh-CN" w:eastAsia="zh-CN" w:bidi="zh-CN"/>
              </w:rPr>
            </w:pPr>
          </w:p>
        </w:tc>
      </w:tr>
      <w:tr w14:paraId="28F1F841">
        <w:tblPrEx>
          <w:tblCellMar>
            <w:top w:w="0" w:type="dxa"/>
            <w:left w:w="10" w:type="dxa"/>
            <w:bottom w:w="0" w:type="dxa"/>
            <w:right w:w="10" w:type="dxa"/>
          </w:tblCellMar>
        </w:tblPrEx>
        <w:trPr>
          <w:trHeight w:val="288" w:hRule="exact"/>
          <w:jc w:val="center"/>
        </w:trPr>
        <w:tc>
          <w:tcPr>
            <w:tcW w:w="3312" w:type="dxa"/>
            <w:shd w:val="clear" w:color="auto" w:fill="auto"/>
          </w:tcPr>
          <w:p w14:paraId="78AE7B04">
            <w:pPr>
              <w:pStyle w:val="67"/>
              <w:spacing w:line="240" w:lineRule="auto"/>
              <w:ind w:firstLine="780"/>
              <w:rPr>
                <w:rFonts w:ascii="Times New Roman" w:hAnsi="Times New Roman" w:cs="Times New Roman"/>
                <w:color w:val="000000"/>
                <w:sz w:val="15"/>
                <w:szCs w:val="15"/>
                <w:lang w:val="zh-CN" w:bidi="zh-CN"/>
              </w:rPr>
            </w:pPr>
            <w:r>
              <w:rPr>
                <w:rFonts w:ascii="Times New Roman" w:hAnsi="Times New Roman" w:cs="Times New Roman"/>
                <w:color w:val="000000"/>
                <w:sz w:val="15"/>
                <w:szCs w:val="15"/>
                <w:lang w:val="zh-CN" w:bidi="zh-CN"/>
              </w:rPr>
              <w:t>Nuclease-Free Water</w:t>
            </w:r>
          </w:p>
        </w:tc>
        <w:tc>
          <w:tcPr>
            <w:tcW w:w="1982" w:type="dxa"/>
            <w:shd w:val="clear" w:color="auto" w:fill="auto"/>
          </w:tcPr>
          <w:p w14:paraId="4583A5E6">
            <w:pPr>
              <w:pStyle w:val="67"/>
              <w:spacing w:line="240" w:lineRule="auto"/>
              <w:ind w:firstLine="780"/>
              <w:rPr>
                <w:rFonts w:ascii="Times New Roman" w:hAnsi="Times New Roman" w:cs="Times New Roman"/>
                <w:color w:val="000000"/>
                <w:sz w:val="15"/>
                <w:szCs w:val="15"/>
                <w:lang w:val="zh-CN" w:bidi="zh-CN"/>
              </w:rPr>
            </w:pPr>
            <w:r>
              <w:rPr>
                <w:rFonts w:hint="eastAsia" w:ascii="Times New Roman" w:hAnsi="Times New Roman" w:cs="Times New Roman"/>
                <w:color w:val="000000"/>
                <w:sz w:val="15"/>
                <w:szCs w:val="15"/>
                <w:lang w:val="zh-CN" w:bidi="zh-CN"/>
              </w:rPr>
              <w:t>6.98</w:t>
            </w:r>
          </w:p>
        </w:tc>
        <w:tc>
          <w:tcPr>
            <w:tcW w:w="2866" w:type="dxa"/>
            <w:shd w:val="clear" w:color="auto" w:fill="auto"/>
          </w:tcPr>
          <w:p w14:paraId="3058D666">
            <w:pPr>
              <w:ind w:firstLine="780"/>
              <w:rPr>
                <w:color w:val="000000"/>
                <w:sz w:val="15"/>
                <w:szCs w:val="15"/>
                <w:lang w:val="zh-CN" w:eastAsia="zh-CN" w:bidi="zh-CN"/>
              </w:rPr>
            </w:pPr>
          </w:p>
        </w:tc>
      </w:tr>
      <w:tr w14:paraId="1E5FC2F0">
        <w:tblPrEx>
          <w:tblCellMar>
            <w:top w:w="0" w:type="dxa"/>
            <w:left w:w="10" w:type="dxa"/>
            <w:bottom w:w="0" w:type="dxa"/>
            <w:right w:w="10" w:type="dxa"/>
          </w:tblCellMar>
        </w:tblPrEx>
        <w:trPr>
          <w:trHeight w:val="307" w:hRule="exact"/>
          <w:jc w:val="center"/>
        </w:trPr>
        <w:tc>
          <w:tcPr>
            <w:tcW w:w="3312" w:type="dxa"/>
            <w:shd w:val="clear" w:color="auto" w:fill="auto"/>
            <w:vAlign w:val="bottom"/>
          </w:tcPr>
          <w:p w14:paraId="7A344EE9">
            <w:pPr>
              <w:pStyle w:val="67"/>
              <w:spacing w:line="240" w:lineRule="auto"/>
              <w:ind w:firstLine="780"/>
              <w:rPr>
                <w:rFonts w:ascii="Times New Roman" w:hAnsi="Times New Roman" w:cs="Times New Roman"/>
                <w:color w:val="000000"/>
                <w:sz w:val="15"/>
                <w:szCs w:val="15"/>
                <w:lang w:val="zh-CN" w:bidi="zh-CN"/>
              </w:rPr>
            </w:pPr>
            <w:r>
              <w:rPr>
                <w:rFonts w:hint="eastAsia" w:ascii="Times New Roman" w:hAnsi="Times New Roman" w:cs="Times New Roman"/>
                <w:color w:val="000000"/>
                <w:sz w:val="15"/>
                <w:szCs w:val="15"/>
                <w:lang w:val="zh-CN" w:bidi="zh-CN"/>
              </w:rPr>
              <w:t>总体积</w:t>
            </w:r>
          </w:p>
        </w:tc>
        <w:tc>
          <w:tcPr>
            <w:tcW w:w="1982" w:type="dxa"/>
            <w:shd w:val="clear" w:color="auto" w:fill="auto"/>
            <w:vAlign w:val="bottom"/>
          </w:tcPr>
          <w:p w14:paraId="51EAD3D3">
            <w:pPr>
              <w:pStyle w:val="67"/>
              <w:spacing w:line="240" w:lineRule="auto"/>
              <w:ind w:firstLine="780"/>
              <w:rPr>
                <w:rFonts w:ascii="Times New Roman" w:hAnsi="Times New Roman" w:cs="Times New Roman"/>
                <w:color w:val="000000"/>
                <w:sz w:val="15"/>
                <w:szCs w:val="15"/>
                <w:lang w:val="zh-CN" w:bidi="zh-CN"/>
              </w:rPr>
            </w:pPr>
            <w:r>
              <w:rPr>
                <w:rFonts w:ascii="Times New Roman" w:hAnsi="Times New Roman" w:cs="Times New Roman"/>
                <w:color w:val="000000"/>
                <w:sz w:val="15"/>
                <w:szCs w:val="15"/>
                <w:lang w:val="zh-CN" w:bidi="zh-CN"/>
              </w:rPr>
              <w:t>20</w:t>
            </w:r>
          </w:p>
        </w:tc>
        <w:tc>
          <w:tcPr>
            <w:tcW w:w="2866" w:type="dxa"/>
            <w:shd w:val="clear" w:color="auto" w:fill="auto"/>
          </w:tcPr>
          <w:p w14:paraId="044C6EB5">
            <w:pPr>
              <w:ind w:firstLine="780"/>
              <w:rPr>
                <w:color w:val="000000"/>
                <w:sz w:val="15"/>
                <w:szCs w:val="15"/>
                <w:lang w:val="zh-CN" w:eastAsia="zh-CN" w:bidi="zh-CN"/>
              </w:rPr>
            </w:pPr>
          </w:p>
        </w:tc>
      </w:tr>
      <w:tr w14:paraId="3093E7C1">
        <w:tblPrEx>
          <w:tblCellMar>
            <w:top w:w="0" w:type="dxa"/>
            <w:left w:w="10" w:type="dxa"/>
            <w:bottom w:w="0" w:type="dxa"/>
            <w:right w:w="10" w:type="dxa"/>
          </w:tblCellMar>
        </w:tblPrEx>
        <w:trPr>
          <w:trHeight w:val="1250" w:hRule="exact"/>
          <w:jc w:val="center"/>
        </w:trPr>
        <w:tc>
          <w:tcPr>
            <w:tcW w:w="8160" w:type="dxa"/>
            <w:gridSpan w:val="3"/>
            <w:tcBorders>
              <w:top w:val="single" w:color="auto" w:sz="4" w:space="0"/>
            </w:tcBorders>
            <w:shd w:val="clear" w:color="auto" w:fill="auto"/>
            <w:vAlign w:val="bottom"/>
          </w:tcPr>
          <w:p w14:paraId="5D08A7E3">
            <w:pPr>
              <w:pStyle w:val="67"/>
              <w:ind w:firstLine="240"/>
              <w:rPr>
                <w:color w:val="000000"/>
                <w:sz w:val="15"/>
                <w:szCs w:val="15"/>
                <w:lang w:bidi="zh-CN"/>
              </w:rPr>
            </w:pPr>
            <w:r>
              <w:rPr>
                <w:rFonts w:hint="eastAsia"/>
                <w:color w:val="000000"/>
                <w:sz w:val="15"/>
                <w:szCs w:val="15"/>
                <w:lang w:val="zh-CN" w:bidi="zh-CN"/>
              </w:rPr>
              <w:t>注</w:t>
            </w:r>
            <w:r>
              <w:rPr>
                <w:rFonts w:hint="eastAsia"/>
                <w:color w:val="000000"/>
                <w:sz w:val="15"/>
                <w:szCs w:val="15"/>
                <w:lang w:bidi="zh-CN"/>
              </w:rPr>
              <w:t>：Bio- Rad</w:t>
            </w:r>
            <w:r>
              <w:rPr>
                <w:rFonts w:hint="eastAsia"/>
                <w:color w:val="000000"/>
                <w:sz w:val="15"/>
                <w:szCs w:val="15"/>
                <w:lang w:val="zh-CN" w:bidi="zh-CN"/>
              </w:rPr>
              <w:t>、</w:t>
            </w:r>
            <w:r>
              <w:rPr>
                <w:rFonts w:hint="eastAsia"/>
                <w:color w:val="000000"/>
                <w:sz w:val="15"/>
                <w:szCs w:val="15"/>
                <w:lang w:bidi="zh-CN"/>
              </w:rPr>
              <w:t xml:space="preserve">Roche </w:t>
            </w:r>
            <w:r>
              <w:rPr>
                <w:rFonts w:hint="eastAsia"/>
                <w:color w:val="000000"/>
                <w:sz w:val="15"/>
                <w:szCs w:val="15"/>
                <w:lang w:val="zh-CN" w:bidi="zh-CN"/>
              </w:rPr>
              <w:t>及</w:t>
            </w:r>
            <w:r>
              <w:rPr>
                <w:rFonts w:hint="eastAsia"/>
                <w:color w:val="000000"/>
                <w:sz w:val="15"/>
                <w:szCs w:val="15"/>
                <w:lang w:bidi="zh-CN"/>
              </w:rPr>
              <w:t xml:space="preserve"> Eppendorf </w:t>
            </w:r>
            <w:r>
              <w:rPr>
                <w:rFonts w:hint="eastAsia"/>
                <w:color w:val="000000"/>
                <w:sz w:val="15"/>
                <w:szCs w:val="15"/>
                <w:lang w:val="zh-CN" w:bidi="zh-CN"/>
              </w:rPr>
              <w:t>等品牌仪器无需添加参比染料。</w:t>
            </w:r>
          </w:p>
          <w:p w14:paraId="169BD704">
            <w:pPr>
              <w:pStyle w:val="67"/>
              <w:ind w:firstLine="240"/>
              <w:rPr>
                <w:color w:val="000000"/>
                <w:sz w:val="15"/>
                <w:szCs w:val="15"/>
                <w:lang w:bidi="zh-CN"/>
              </w:rPr>
            </w:pPr>
            <w:r>
              <w:rPr>
                <w:rFonts w:hint="eastAsia"/>
                <w:color w:val="000000"/>
                <w:sz w:val="15"/>
                <w:szCs w:val="15"/>
                <w:lang w:bidi="zh-CN"/>
              </w:rPr>
              <w:t xml:space="preserve">2） </w:t>
            </w:r>
            <w:r>
              <w:rPr>
                <w:rFonts w:hint="eastAsia"/>
                <w:color w:val="000000"/>
                <w:sz w:val="15"/>
                <w:szCs w:val="15"/>
                <w:lang w:val="zh-CN" w:bidi="zh-CN"/>
              </w:rPr>
              <w:t>针对其他仪器推荐的</w:t>
            </w:r>
            <w:r>
              <w:rPr>
                <w:rFonts w:hint="eastAsia"/>
                <w:color w:val="000000"/>
                <w:sz w:val="15"/>
                <w:szCs w:val="15"/>
                <w:lang w:bidi="zh-CN"/>
              </w:rPr>
              <w:t xml:space="preserve"> CXR </w:t>
            </w:r>
            <w:r>
              <w:rPr>
                <w:rFonts w:hint="eastAsia"/>
                <w:color w:val="000000"/>
                <w:sz w:val="15"/>
                <w:szCs w:val="15"/>
                <w:lang w:val="zh-CN" w:bidi="zh-CN"/>
              </w:rPr>
              <w:t>参比染料浓度及添加方式如下</w:t>
            </w:r>
            <w:r>
              <w:rPr>
                <w:rFonts w:hint="eastAsia"/>
                <w:color w:val="000000"/>
                <w:sz w:val="15"/>
                <w:szCs w:val="15"/>
                <w:lang w:bidi="zh-CN"/>
              </w:rPr>
              <w:t>：</w:t>
            </w:r>
          </w:p>
          <w:p w14:paraId="5D91B138">
            <w:pPr>
              <w:pStyle w:val="67"/>
              <w:ind w:firstLine="240"/>
              <w:rPr>
                <w:color w:val="000000"/>
                <w:sz w:val="15"/>
                <w:szCs w:val="15"/>
                <w:lang w:bidi="zh-CN"/>
              </w:rPr>
            </w:pPr>
            <w:r>
              <w:rPr>
                <w:rFonts w:hint="eastAsia"/>
                <w:color w:val="000000"/>
                <w:sz w:val="15"/>
                <w:szCs w:val="15"/>
                <w:lang w:bidi="zh-CN"/>
              </w:rPr>
              <w:t xml:space="preserve">ABI 7500 </w:t>
            </w:r>
            <w:r>
              <w:rPr>
                <w:rFonts w:hint="eastAsia"/>
                <w:color w:val="000000"/>
                <w:sz w:val="15"/>
                <w:szCs w:val="15"/>
                <w:lang w:val="zh-CN" w:bidi="zh-CN"/>
              </w:rPr>
              <w:t>和</w:t>
            </w:r>
            <w:r>
              <w:rPr>
                <w:rFonts w:hint="eastAsia"/>
                <w:color w:val="000000"/>
                <w:sz w:val="15"/>
                <w:szCs w:val="15"/>
                <w:lang w:bidi="zh-CN"/>
              </w:rPr>
              <w:t xml:space="preserve"> 7500 FAST</w:t>
            </w:r>
            <w:r>
              <w:rPr>
                <w:rFonts w:hint="eastAsia"/>
                <w:color w:val="000000"/>
                <w:sz w:val="15"/>
                <w:szCs w:val="15"/>
                <w:lang w:val="zh-CN" w:bidi="zh-CN"/>
              </w:rPr>
              <w:t>、</w:t>
            </w:r>
            <w:r>
              <w:rPr>
                <w:rFonts w:hint="eastAsia"/>
                <w:color w:val="000000"/>
                <w:sz w:val="15"/>
                <w:szCs w:val="15"/>
                <w:lang w:bidi="zh-CN"/>
              </w:rPr>
              <w:t xml:space="preserve">QuantStudio ® </w:t>
            </w:r>
            <w:r>
              <w:rPr>
                <w:rFonts w:hint="eastAsia"/>
                <w:color w:val="000000"/>
                <w:sz w:val="15"/>
                <w:szCs w:val="15"/>
                <w:lang w:val="zh-CN" w:bidi="zh-CN"/>
              </w:rPr>
              <w:t>、</w:t>
            </w:r>
            <w:r>
              <w:rPr>
                <w:rFonts w:hint="eastAsia"/>
                <w:color w:val="000000"/>
                <w:sz w:val="15"/>
                <w:szCs w:val="15"/>
                <w:lang w:bidi="zh-CN"/>
              </w:rPr>
              <w:t xml:space="preserve">ViiA ® 7 </w:t>
            </w:r>
            <w:r>
              <w:rPr>
                <w:rFonts w:hint="eastAsia"/>
                <w:color w:val="000000"/>
                <w:sz w:val="15"/>
                <w:szCs w:val="15"/>
                <w:lang w:val="zh-CN" w:bidi="zh-CN"/>
              </w:rPr>
              <w:t>及</w:t>
            </w:r>
            <w:r>
              <w:rPr>
                <w:rFonts w:hint="eastAsia"/>
                <w:color w:val="000000"/>
                <w:sz w:val="15"/>
                <w:szCs w:val="15"/>
                <w:lang w:bidi="zh-CN"/>
              </w:rPr>
              <w:t xml:space="preserve"> Stratagene/Agilent </w:t>
            </w:r>
            <w:r>
              <w:rPr>
                <w:rFonts w:hint="eastAsia"/>
                <w:color w:val="000000"/>
                <w:sz w:val="15"/>
                <w:szCs w:val="15"/>
                <w:lang w:val="zh-CN" w:bidi="zh-CN"/>
              </w:rPr>
              <w:t>等品牌仪器需要加入较低浓度</w:t>
            </w:r>
          </w:p>
          <w:p w14:paraId="3562962E">
            <w:pPr>
              <w:pStyle w:val="67"/>
              <w:ind w:firstLine="240"/>
              <w:rPr>
                <w:color w:val="000000"/>
                <w:sz w:val="15"/>
                <w:szCs w:val="15"/>
                <w:lang w:bidi="zh-CN"/>
              </w:rPr>
            </w:pPr>
            <w:r>
              <w:rPr>
                <w:rFonts w:hint="eastAsia"/>
                <w:color w:val="000000"/>
                <w:sz w:val="15"/>
                <w:szCs w:val="15"/>
                <w:lang w:bidi="zh-CN"/>
              </w:rPr>
              <w:t>（30nM）</w:t>
            </w:r>
            <w:r>
              <w:rPr>
                <w:rFonts w:hint="eastAsia"/>
                <w:color w:val="000000"/>
                <w:sz w:val="15"/>
                <w:szCs w:val="15"/>
                <w:lang w:val="zh-CN" w:bidi="zh-CN"/>
              </w:rPr>
              <w:t>的参比染料。</w:t>
            </w:r>
          </w:p>
          <w:p w14:paraId="7BACD02C">
            <w:pPr>
              <w:pStyle w:val="67"/>
              <w:spacing w:line="240" w:lineRule="auto"/>
              <w:ind w:firstLine="240"/>
              <w:rPr>
                <w:sz w:val="15"/>
                <w:szCs w:val="15"/>
              </w:rPr>
            </w:pPr>
            <w:r>
              <w:rPr>
                <w:rFonts w:hint="eastAsia"/>
                <w:color w:val="000000"/>
                <w:sz w:val="15"/>
                <w:szCs w:val="15"/>
                <w:lang w:bidi="zh-CN"/>
              </w:rPr>
              <w:t xml:space="preserve">ABI </w:t>
            </w:r>
            <w:r>
              <w:rPr>
                <w:rFonts w:hint="eastAsia"/>
                <w:color w:val="000000"/>
                <w:sz w:val="15"/>
                <w:szCs w:val="15"/>
                <w:lang w:val="zh-CN" w:bidi="zh-CN"/>
              </w:rPr>
              <w:t>的</w:t>
            </w:r>
            <w:r>
              <w:rPr>
                <w:rFonts w:hint="eastAsia"/>
                <w:color w:val="000000"/>
                <w:sz w:val="15"/>
                <w:szCs w:val="15"/>
                <w:lang w:bidi="zh-CN"/>
              </w:rPr>
              <w:t xml:space="preserve"> StepOne™ </w:t>
            </w:r>
            <w:r>
              <w:rPr>
                <w:rFonts w:hint="eastAsia"/>
                <w:color w:val="000000"/>
                <w:sz w:val="15"/>
                <w:szCs w:val="15"/>
                <w:lang w:val="zh-CN" w:bidi="zh-CN"/>
              </w:rPr>
              <w:t>、</w:t>
            </w:r>
            <w:r>
              <w:rPr>
                <w:rFonts w:hint="eastAsia"/>
                <w:color w:val="000000"/>
                <w:sz w:val="15"/>
                <w:szCs w:val="15"/>
                <w:lang w:bidi="zh-CN"/>
              </w:rPr>
              <w:t>StepOnePlus™</w:t>
            </w:r>
            <w:r>
              <w:rPr>
                <w:rFonts w:hint="eastAsia"/>
                <w:color w:val="000000"/>
                <w:sz w:val="15"/>
                <w:szCs w:val="15"/>
                <w:lang w:val="zh-CN" w:bidi="zh-CN"/>
              </w:rPr>
              <w:t>、</w:t>
            </w:r>
            <w:r>
              <w:rPr>
                <w:rFonts w:hint="eastAsia"/>
                <w:color w:val="000000"/>
                <w:sz w:val="15"/>
                <w:szCs w:val="15"/>
                <w:lang w:bidi="zh-CN"/>
              </w:rPr>
              <w:t xml:space="preserve">7300 </w:t>
            </w:r>
            <w:r>
              <w:rPr>
                <w:rFonts w:hint="eastAsia"/>
                <w:color w:val="000000"/>
                <w:sz w:val="15"/>
                <w:szCs w:val="15"/>
                <w:lang w:val="zh-CN" w:bidi="zh-CN"/>
              </w:rPr>
              <w:t>、</w:t>
            </w:r>
            <w:r>
              <w:rPr>
                <w:rFonts w:hint="eastAsia"/>
                <w:color w:val="000000"/>
                <w:sz w:val="15"/>
                <w:szCs w:val="15"/>
                <w:lang w:bidi="zh-CN"/>
              </w:rPr>
              <w:t xml:space="preserve">7900HT </w:t>
            </w:r>
            <w:r>
              <w:rPr>
                <w:rFonts w:hint="eastAsia"/>
                <w:color w:val="000000"/>
                <w:sz w:val="15"/>
                <w:szCs w:val="15"/>
                <w:lang w:val="zh-CN" w:bidi="zh-CN"/>
              </w:rPr>
              <w:t>等仪器需要加入较高浓度</w:t>
            </w:r>
            <w:r>
              <w:rPr>
                <w:rFonts w:hint="eastAsia"/>
                <w:color w:val="000000"/>
                <w:sz w:val="15"/>
                <w:szCs w:val="15"/>
                <w:lang w:bidi="zh-CN"/>
              </w:rPr>
              <w:t>（500nM）</w:t>
            </w:r>
            <w:r>
              <w:rPr>
                <w:rFonts w:hint="eastAsia"/>
                <w:color w:val="000000"/>
                <w:sz w:val="15"/>
                <w:szCs w:val="15"/>
                <w:lang w:val="zh-CN" w:bidi="zh-CN"/>
              </w:rPr>
              <w:t>的参比染料</w:t>
            </w:r>
          </w:p>
        </w:tc>
      </w:tr>
    </w:tbl>
    <w:p w14:paraId="1DF50126">
      <w:pPr>
        <w:spacing w:line="360" w:lineRule="auto"/>
        <w:rPr>
          <w:color w:val="000000"/>
          <w:sz w:val="21"/>
          <w:lang w:eastAsia="zh-CN"/>
        </w:rPr>
      </w:pPr>
      <w:r>
        <w:rPr>
          <w:rFonts w:hint="eastAsia"/>
          <w:color w:val="000000"/>
          <w:sz w:val="21"/>
          <w:lang w:eastAsia="zh-CN"/>
        </w:rPr>
        <w:t>8.4.2</w:t>
      </w:r>
      <w:r>
        <w:rPr>
          <w:rFonts w:hint="eastAsia"/>
          <w:color w:val="000000"/>
          <w:sz w:val="21"/>
          <w:lang w:val="en-US" w:eastAsia="zh-CN"/>
        </w:rPr>
        <w:t xml:space="preserve"> </w:t>
      </w:r>
      <w:r>
        <w:rPr>
          <w:rFonts w:hint="eastAsia"/>
          <w:color w:val="000000"/>
          <w:sz w:val="21"/>
          <w:lang w:eastAsia="zh-CN"/>
        </w:rPr>
        <w:t>实时荧光</w:t>
      </w:r>
      <w:r>
        <w:rPr>
          <w:color w:val="000000"/>
          <w:sz w:val="21"/>
          <w:lang w:eastAsia="zh-CN"/>
        </w:rPr>
        <w:t>PCR</w:t>
      </w:r>
      <w:r>
        <w:rPr>
          <w:rFonts w:hint="eastAsia"/>
          <w:color w:val="000000"/>
          <w:sz w:val="21"/>
          <w:lang w:eastAsia="zh-CN"/>
        </w:rPr>
        <w:t>反应参数</w:t>
      </w:r>
    </w:p>
    <w:p w14:paraId="3F84531D">
      <w:pPr>
        <w:spacing w:line="360" w:lineRule="auto"/>
        <w:rPr>
          <w:color w:val="000000"/>
          <w:sz w:val="21"/>
          <w:lang w:eastAsia="zh-CN"/>
        </w:rPr>
      </w:pPr>
      <w:r>
        <w:rPr>
          <w:rFonts w:hint="eastAsia"/>
          <w:color w:val="000000"/>
          <w:sz w:val="21"/>
          <w:lang w:eastAsia="zh-CN"/>
        </w:rPr>
        <w:t xml:space="preserve">    实时荧光</w:t>
      </w:r>
      <w:r>
        <w:rPr>
          <w:color w:val="000000"/>
          <w:sz w:val="21"/>
          <w:lang w:eastAsia="zh-CN"/>
        </w:rPr>
        <w:t>PCR</w:t>
      </w:r>
      <w:r>
        <w:rPr>
          <w:rFonts w:hint="eastAsia"/>
          <w:color w:val="000000"/>
          <w:sz w:val="21"/>
          <w:lang w:eastAsia="zh-CN"/>
        </w:rPr>
        <w:t>反应参数见表8，试验检测结束后，根据收集的荧光曲线和</w:t>
      </w:r>
      <w:r>
        <w:rPr>
          <w:color w:val="000000"/>
          <w:sz w:val="21"/>
          <w:lang w:eastAsia="zh-CN"/>
        </w:rPr>
        <w:t>Ct</w:t>
      </w:r>
      <w:r>
        <w:rPr>
          <w:rFonts w:hint="eastAsia"/>
          <w:color w:val="000000"/>
          <w:sz w:val="21"/>
          <w:lang w:eastAsia="zh-CN"/>
        </w:rPr>
        <w:t>值判定结果。</w:t>
      </w:r>
    </w:p>
    <w:tbl>
      <w:tblPr>
        <w:tblStyle w:val="21"/>
        <w:tblW w:w="0" w:type="auto"/>
        <w:jc w:val="center"/>
        <w:tblLayout w:type="fixed"/>
        <w:tblCellMar>
          <w:top w:w="0" w:type="dxa"/>
          <w:left w:w="10" w:type="dxa"/>
          <w:bottom w:w="0" w:type="dxa"/>
          <w:right w:w="10" w:type="dxa"/>
        </w:tblCellMar>
      </w:tblPr>
      <w:tblGrid>
        <w:gridCol w:w="1747"/>
        <w:gridCol w:w="3595"/>
        <w:gridCol w:w="1190"/>
        <w:gridCol w:w="1608"/>
      </w:tblGrid>
      <w:tr w14:paraId="682BE60F">
        <w:tblPrEx>
          <w:tblCellMar>
            <w:top w:w="0" w:type="dxa"/>
            <w:left w:w="10" w:type="dxa"/>
            <w:bottom w:w="0" w:type="dxa"/>
            <w:right w:w="10" w:type="dxa"/>
          </w:tblCellMar>
        </w:tblPrEx>
        <w:trPr>
          <w:trHeight w:val="274" w:hRule="exact"/>
          <w:jc w:val="center"/>
        </w:trPr>
        <w:tc>
          <w:tcPr>
            <w:tcW w:w="8140" w:type="dxa"/>
            <w:gridSpan w:val="4"/>
            <w:shd w:val="clear" w:color="auto" w:fill="auto"/>
          </w:tcPr>
          <w:p w14:paraId="059CA37F">
            <w:pPr>
              <w:pStyle w:val="67"/>
              <w:spacing w:line="240" w:lineRule="auto"/>
              <w:ind w:firstLine="0"/>
              <w:jc w:val="center"/>
              <w:rPr>
                <w:sz w:val="18"/>
                <w:szCs w:val="18"/>
              </w:rPr>
            </w:pPr>
            <w:r>
              <w:rPr>
                <w:rFonts w:hint="eastAsia"/>
                <w:color w:val="000000"/>
                <w:sz w:val="18"/>
                <w:szCs w:val="18"/>
                <w:lang w:val="zh-CN" w:bidi="zh-CN"/>
              </w:rPr>
              <w:t>表</w:t>
            </w:r>
            <w:r>
              <w:rPr>
                <w:rFonts w:hint="eastAsia" w:ascii="Times New Roman" w:hAnsi="Times New Roman" w:cs="Times New Roman"/>
                <w:b/>
                <w:bCs/>
                <w:color w:val="000000"/>
                <w:sz w:val="17"/>
                <w:szCs w:val="17"/>
                <w:lang w:val="zh-CN" w:bidi="zh-CN"/>
              </w:rPr>
              <w:t>8</w:t>
            </w:r>
            <w:r>
              <w:rPr>
                <w:rFonts w:hint="eastAsia"/>
                <w:color w:val="000000"/>
                <w:sz w:val="18"/>
                <w:szCs w:val="18"/>
                <w:lang w:val="zh-CN" w:bidi="zh-CN"/>
              </w:rPr>
              <w:t>实时荧光</w:t>
            </w:r>
            <w:r>
              <w:rPr>
                <w:rFonts w:ascii="Times New Roman" w:hAnsi="Times New Roman" w:eastAsia="Times New Roman" w:cs="Times New Roman"/>
                <w:b/>
                <w:bCs/>
                <w:color w:val="000000"/>
                <w:sz w:val="17"/>
                <w:szCs w:val="17"/>
                <w:lang w:bidi="en-US"/>
              </w:rPr>
              <w:t>PCR</w:t>
            </w:r>
            <w:r>
              <w:rPr>
                <w:rFonts w:hint="eastAsia"/>
                <w:color w:val="000000"/>
                <w:sz w:val="18"/>
                <w:szCs w:val="18"/>
                <w:lang w:val="zh-CN" w:bidi="zh-CN"/>
              </w:rPr>
              <w:t>反应参数</w:t>
            </w:r>
          </w:p>
        </w:tc>
      </w:tr>
      <w:tr w14:paraId="4797A4B3">
        <w:tblPrEx>
          <w:tblCellMar>
            <w:top w:w="0" w:type="dxa"/>
            <w:left w:w="10" w:type="dxa"/>
            <w:bottom w:w="0" w:type="dxa"/>
            <w:right w:w="10" w:type="dxa"/>
          </w:tblCellMar>
        </w:tblPrEx>
        <w:trPr>
          <w:trHeight w:val="331" w:hRule="exact"/>
          <w:jc w:val="center"/>
        </w:trPr>
        <w:tc>
          <w:tcPr>
            <w:tcW w:w="1747" w:type="dxa"/>
            <w:tcBorders>
              <w:top w:val="single" w:color="auto" w:sz="4" w:space="0"/>
            </w:tcBorders>
            <w:shd w:val="clear" w:color="auto" w:fill="auto"/>
            <w:vAlign w:val="bottom"/>
          </w:tcPr>
          <w:p w14:paraId="14EB51C5">
            <w:pPr>
              <w:pStyle w:val="67"/>
              <w:spacing w:line="240" w:lineRule="auto"/>
              <w:ind w:firstLine="520"/>
              <w:rPr>
                <w:sz w:val="15"/>
                <w:szCs w:val="15"/>
              </w:rPr>
            </w:pPr>
            <w:r>
              <w:rPr>
                <w:rFonts w:hint="eastAsia"/>
                <w:color w:val="000000"/>
                <w:sz w:val="15"/>
                <w:szCs w:val="15"/>
                <w:lang w:val="zh-CN" w:bidi="zh-CN"/>
              </w:rPr>
              <w:t>步骤</w:t>
            </w:r>
          </w:p>
        </w:tc>
        <w:tc>
          <w:tcPr>
            <w:tcW w:w="3595" w:type="dxa"/>
            <w:tcBorders>
              <w:top w:val="single" w:color="auto" w:sz="4" w:space="0"/>
            </w:tcBorders>
            <w:shd w:val="clear" w:color="auto" w:fill="auto"/>
            <w:vAlign w:val="bottom"/>
          </w:tcPr>
          <w:p w14:paraId="773DE1E1">
            <w:pPr>
              <w:pStyle w:val="67"/>
              <w:tabs>
                <w:tab w:val="left" w:pos="2166"/>
              </w:tabs>
              <w:spacing w:line="240" w:lineRule="auto"/>
              <w:ind w:firstLine="400"/>
              <w:rPr>
                <w:sz w:val="15"/>
                <w:szCs w:val="15"/>
              </w:rPr>
            </w:pPr>
            <w:r>
              <w:rPr>
                <w:rFonts w:hint="eastAsia"/>
                <w:color w:val="000000"/>
                <w:sz w:val="15"/>
                <w:szCs w:val="15"/>
                <w:lang w:val="zh-CN" w:bidi="zh-CN"/>
              </w:rPr>
              <w:t>温度</w:t>
            </w:r>
            <w:r>
              <w:rPr>
                <w:color w:val="000000"/>
                <w:sz w:val="15"/>
                <w:szCs w:val="15"/>
                <w:lang w:val="zh-CN" w:bidi="zh-CN"/>
              </w:rPr>
              <w:t>/</w:t>
            </w:r>
            <w:r>
              <w:rPr>
                <w:rFonts w:hint="eastAsia"/>
                <w:color w:val="000000"/>
                <w:sz w:val="15"/>
                <w:szCs w:val="15"/>
                <w:lang w:val="zh-CN" w:bidi="zh-CN"/>
              </w:rPr>
              <w:t>七</w:t>
            </w:r>
            <w:r>
              <w:rPr>
                <w:color w:val="000000"/>
                <w:sz w:val="15"/>
                <w:szCs w:val="15"/>
                <w:lang w:val="zh-CN" w:bidi="zh-CN"/>
              </w:rPr>
              <w:tab/>
            </w:r>
            <w:r>
              <w:rPr>
                <w:rFonts w:hint="eastAsia"/>
                <w:color w:val="000000"/>
                <w:sz w:val="15"/>
                <w:szCs w:val="15"/>
                <w:lang w:val="zh-CN" w:bidi="zh-CN"/>
              </w:rPr>
              <w:t>时间</w:t>
            </w:r>
          </w:p>
        </w:tc>
        <w:tc>
          <w:tcPr>
            <w:tcW w:w="1190" w:type="dxa"/>
            <w:tcBorders>
              <w:top w:val="single" w:color="auto" w:sz="4" w:space="0"/>
            </w:tcBorders>
            <w:shd w:val="clear" w:color="auto" w:fill="auto"/>
            <w:vAlign w:val="bottom"/>
          </w:tcPr>
          <w:p w14:paraId="3FC4880A">
            <w:pPr>
              <w:pStyle w:val="67"/>
              <w:spacing w:line="240" w:lineRule="auto"/>
              <w:ind w:firstLine="0"/>
              <w:rPr>
                <w:sz w:val="15"/>
                <w:szCs w:val="15"/>
              </w:rPr>
            </w:pPr>
            <w:r>
              <w:rPr>
                <w:rFonts w:hint="eastAsia"/>
                <w:color w:val="000000"/>
                <w:sz w:val="15"/>
                <w:szCs w:val="15"/>
                <w:lang w:val="zh-CN" w:bidi="zh-CN"/>
              </w:rPr>
              <w:t>循环数</w:t>
            </w:r>
          </w:p>
        </w:tc>
        <w:tc>
          <w:tcPr>
            <w:tcW w:w="1608" w:type="dxa"/>
            <w:tcBorders>
              <w:top w:val="single" w:color="auto" w:sz="4" w:space="0"/>
            </w:tcBorders>
            <w:shd w:val="clear" w:color="auto" w:fill="auto"/>
            <w:vAlign w:val="bottom"/>
          </w:tcPr>
          <w:p w14:paraId="68792DC4">
            <w:pPr>
              <w:pStyle w:val="67"/>
              <w:spacing w:line="240" w:lineRule="auto"/>
              <w:ind w:firstLine="260"/>
              <w:jc w:val="both"/>
              <w:rPr>
                <w:sz w:val="15"/>
                <w:szCs w:val="15"/>
              </w:rPr>
            </w:pPr>
            <w:r>
              <w:rPr>
                <w:rFonts w:hint="eastAsia"/>
                <w:color w:val="000000"/>
                <w:sz w:val="15"/>
                <w:szCs w:val="15"/>
                <w:lang w:val="zh-CN" w:bidi="zh-CN"/>
              </w:rPr>
              <w:t>采集荧光信号</w:t>
            </w:r>
          </w:p>
        </w:tc>
      </w:tr>
      <w:tr w14:paraId="443F9BFB">
        <w:tblPrEx>
          <w:tblCellMar>
            <w:top w:w="0" w:type="dxa"/>
            <w:left w:w="10" w:type="dxa"/>
            <w:bottom w:w="0" w:type="dxa"/>
            <w:right w:w="10" w:type="dxa"/>
          </w:tblCellMar>
        </w:tblPrEx>
        <w:trPr>
          <w:trHeight w:val="336" w:hRule="exact"/>
          <w:jc w:val="center"/>
        </w:trPr>
        <w:tc>
          <w:tcPr>
            <w:tcW w:w="1747" w:type="dxa"/>
            <w:tcBorders>
              <w:top w:val="single" w:color="auto" w:sz="4" w:space="0"/>
            </w:tcBorders>
            <w:shd w:val="clear" w:color="auto" w:fill="auto"/>
            <w:vAlign w:val="center"/>
          </w:tcPr>
          <w:p w14:paraId="172C188C">
            <w:pPr>
              <w:pStyle w:val="67"/>
              <w:spacing w:line="240" w:lineRule="auto"/>
              <w:ind w:firstLine="520"/>
              <w:rPr>
                <w:sz w:val="15"/>
                <w:szCs w:val="15"/>
              </w:rPr>
            </w:pPr>
            <w:r>
              <w:rPr>
                <w:rFonts w:hint="eastAsia"/>
                <w:color w:val="000000"/>
                <w:sz w:val="15"/>
                <w:szCs w:val="15"/>
                <w:lang w:val="zh-CN" w:bidi="zh-CN"/>
              </w:rPr>
              <w:t>预变性</w:t>
            </w:r>
          </w:p>
        </w:tc>
        <w:tc>
          <w:tcPr>
            <w:tcW w:w="3595" w:type="dxa"/>
            <w:tcBorders>
              <w:top w:val="single" w:color="auto" w:sz="4" w:space="0"/>
            </w:tcBorders>
            <w:shd w:val="clear" w:color="auto" w:fill="auto"/>
            <w:vAlign w:val="center"/>
          </w:tcPr>
          <w:p w14:paraId="2E6360CB">
            <w:pPr>
              <w:pStyle w:val="67"/>
              <w:tabs>
                <w:tab w:val="left" w:pos="2185"/>
              </w:tabs>
              <w:spacing w:line="240" w:lineRule="auto"/>
              <w:ind w:firstLine="500"/>
              <w:jc w:val="both"/>
              <w:rPr>
                <w:sz w:val="15"/>
                <w:szCs w:val="15"/>
              </w:rPr>
            </w:pPr>
            <w:r>
              <w:rPr>
                <w:rFonts w:ascii="Times New Roman" w:hAnsi="Times New Roman" w:eastAsia="Times New Roman" w:cs="Times New Roman"/>
                <w:color w:val="000000"/>
                <w:sz w:val="15"/>
                <w:szCs w:val="15"/>
                <w:lang w:val="zh-CN" w:bidi="zh-CN"/>
              </w:rPr>
              <w:t>95</w:t>
            </w:r>
            <w:r>
              <w:rPr>
                <w:rFonts w:ascii="Times New Roman" w:hAnsi="Times New Roman" w:eastAsia="Times New Roman" w:cs="Times New Roman"/>
                <w:color w:val="000000"/>
                <w:sz w:val="15"/>
                <w:szCs w:val="15"/>
                <w:lang w:val="zh-CN" w:bidi="zh-CN"/>
              </w:rPr>
              <w:tab/>
            </w:r>
            <w:r>
              <w:rPr>
                <w:rFonts w:hint="eastAsia" w:ascii="Times New Roman" w:hAnsi="Times New Roman" w:cs="Times New Roman"/>
                <w:color w:val="000000"/>
                <w:sz w:val="15"/>
                <w:szCs w:val="15"/>
                <w:lang w:bidi="en-US"/>
              </w:rPr>
              <w:t>10min</w:t>
            </w:r>
          </w:p>
        </w:tc>
        <w:tc>
          <w:tcPr>
            <w:tcW w:w="1190" w:type="dxa"/>
            <w:tcBorders>
              <w:top w:val="single" w:color="auto" w:sz="4" w:space="0"/>
            </w:tcBorders>
            <w:shd w:val="clear" w:color="auto" w:fill="auto"/>
            <w:vAlign w:val="center"/>
          </w:tcPr>
          <w:p w14:paraId="3E97E60F">
            <w:pPr>
              <w:pStyle w:val="67"/>
              <w:spacing w:line="240" w:lineRule="auto"/>
              <w:ind w:firstLine="220"/>
              <w:rPr>
                <w:sz w:val="15"/>
                <w:szCs w:val="15"/>
              </w:rPr>
            </w:pPr>
            <w:r>
              <w:rPr>
                <w:rFonts w:ascii="Times New Roman" w:hAnsi="Times New Roman" w:eastAsia="Times New Roman" w:cs="Times New Roman"/>
                <w:color w:val="000000"/>
                <w:sz w:val="15"/>
                <w:szCs w:val="15"/>
                <w:lang w:val="zh-CN" w:bidi="zh-CN"/>
              </w:rPr>
              <w:t>1</w:t>
            </w:r>
          </w:p>
        </w:tc>
        <w:tc>
          <w:tcPr>
            <w:tcW w:w="1608" w:type="dxa"/>
            <w:tcBorders>
              <w:top w:val="single" w:color="auto" w:sz="4" w:space="0"/>
            </w:tcBorders>
            <w:shd w:val="clear" w:color="auto" w:fill="auto"/>
            <w:vAlign w:val="center"/>
          </w:tcPr>
          <w:p w14:paraId="3CF693C0">
            <w:pPr>
              <w:pStyle w:val="67"/>
              <w:spacing w:line="240" w:lineRule="auto"/>
              <w:ind w:firstLine="660"/>
              <w:rPr>
                <w:sz w:val="15"/>
                <w:szCs w:val="15"/>
              </w:rPr>
            </w:pPr>
            <w:r>
              <w:rPr>
                <w:rFonts w:hint="eastAsia"/>
                <w:color w:val="000000"/>
                <w:sz w:val="15"/>
                <w:szCs w:val="15"/>
                <w:lang w:val="zh-CN" w:bidi="zh-CN"/>
              </w:rPr>
              <w:t>否</w:t>
            </w:r>
          </w:p>
        </w:tc>
      </w:tr>
      <w:tr w14:paraId="026006B8">
        <w:tblPrEx>
          <w:tblCellMar>
            <w:top w:w="0" w:type="dxa"/>
            <w:left w:w="10" w:type="dxa"/>
            <w:bottom w:w="0" w:type="dxa"/>
            <w:right w:w="10" w:type="dxa"/>
          </w:tblCellMar>
        </w:tblPrEx>
        <w:trPr>
          <w:trHeight w:val="317" w:hRule="exact"/>
          <w:jc w:val="center"/>
        </w:trPr>
        <w:tc>
          <w:tcPr>
            <w:tcW w:w="1747" w:type="dxa"/>
            <w:shd w:val="clear" w:color="auto" w:fill="auto"/>
            <w:vAlign w:val="center"/>
          </w:tcPr>
          <w:p w14:paraId="108F0381">
            <w:pPr>
              <w:pStyle w:val="67"/>
              <w:spacing w:line="240" w:lineRule="auto"/>
              <w:ind w:firstLine="520"/>
              <w:rPr>
                <w:sz w:val="15"/>
                <w:szCs w:val="15"/>
              </w:rPr>
            </w:pPr>
            <w:r>
              <w:rPr>
                <w:rFonts w:hint="eastAsia"/>
                <w:color w:val="000000"/>
                <w:sz w:val="15"/>
                <w:szCs w:val="15"/>
                <w:lang w:val="zh-CN" w:bidi="zh-CN"/>
              </w:rPr>
              <w:t>变性</w:t>
            </w:r>
          </w:p>
        </w:tc>
        <w:tc>
          <w:tcPr>
            <w:tcW w:w="3595" w:type="dxa"/>
            <w:shd w:val="clear" w:color="auto" w:fill="auto"/>
            <w:vAlign w:val="center"/>
          </w:tcPr>
          <w:p w14:paraId="231D09BF">
            <w:pPr>
              <w:pStyle w:val="67"/>
              <w:tabs>
                <w:tab w:val="left" w:pos="2185"/>
              </w:tabs>
              <w:spacing w:line="240" w:lineRule="auto"/>
              <w:ind w:firstLine="500"/>
              <w:jc w:val="both"/>
              <w:rPr>
                <w:sz w:val="15"/>
                <w:szCs w:val="15"/>
              </w:rPr>
            </w:pPr>
            <w:r>
              <w:rPr>
                <w:rFonts w:ascii="Times New Roman" w:hAnsi="Times New Roman" w:eastAsia="Times New Roman" w:cs="Times New Roman"/>
                <w:color w:val="000000"/>
                <w:sz w:val="15"/>
                <w:szCs w:val="15"/>
                <w:lang w:val="zh-CN" w:bidi="zh-CN"/>
              </w:rPr>
              <w:t>95</w:t>
            </w:r>
            <w:r>
              <w:rPr>
                <w:rFonts w:ascii="Times New Roman" w:hAnsi="Times New Roman" w:eastAsia="Times New Roman" w:cs="Times New Roman"/>
                <w:color w:val="000000"/>
                <w:sz w:val="15"/>
                <w:szCs w:val="15"/>
                <w:lang w:val="zh-CN" w:bidi="zh-CN"/>
              </w:rPr>
              <w:tab/>
            </w:r>
            <w:r>
              <w:rPr>
                <w:rFonts w:hint="eastAsia" w:ascii="Times New Roman" w:hAnsi="Times New Roman" w:cs="Times New Roman"/>
                <w:color w:val="000000"/>
                <w:sz w:val="15"/>
                <w:szCs w:val="15"/>
                <w:lang w:val="zh-CN" w:bidi="zh-CN"/>
              </w:rPr>
              <w:t>1</w:t>
            </w:r>
            <w:r>
              <w:rPr>
                <w:rFonts w:ascii="Times New Roman" w:hAnsi="Times New Roman" w:eastAsia="Times New Roman" w:cs="Times New Roman"/>
                <w:color w:val="000000"/>
                <w:sz w:val="15"/>
                <w:szCs w:val="15"/>
                <w:lang w:eastAsia="en-US" w:bidi="en-US"/>
              </w:rPr>
              <w:t>5s</w:t>
            </w:r>
          </w:p>
        </w:tc>
        <w:tc>
          <w:tcPr>
            <w:tcW w:w="1190" w:type="dxa"/>
            <w:shd w:val="clear" w:color="auto" w:fill="auto"/>
            <w:vAlign w:val="center"/>
          </w:tcPr>
          <w:p w14:paraId="0FA161F6">
            <w:pPr>
              <w:pStyle w:val="67"/>
              <w:spacing w:line="240" w:lineRule="auto"/>
              <w:ind w:firstLine="220"/>
              <w:rPr>
                <w:sz w:val="15"/>
                <w:szCs w:val="15"/>
              </w:rPr>
            </w:pPr>
            <w:r>
              <w:rPr>
                <w:rFonts w:ascii="Times New Roman" w:hAnsi="Times New Roman" w:eastAsia="Times New Roman" w:cs="Times New Roman"/>
                <w:color w:val="000000"/>
                <w:sz w:val="15"/>
                <w:szCs w:val="15"/>
                <w:lang w:val="zh-CN" w:bidi="zh-CN"/>
              </w:rPr>
              <w:t>40</w:t>
            </w:r>
          </w:p>
        </w:tc>
        <w:tc>
          <w:tcPr>
            <w:tcW w:w="1608" w:type="dxa"/>
            <w:shd w:val="clear" w:color="auto" w:fill="auto"/>
            <w:vAlign w:val="center"/>
          </w:tcPr>
          <w:p w14:paraId="01752E80">
            <w:pPr>
              <w:pStyle w:val="67"/>
              <w:spacing w:line="240" w:lineRule="auto"/>
              <w:ind w:firstLine="660"/>
              <w:rPr>
                <w:sz w:val="15"/>
                <w:szCs w:val="15"/>
              </w:rPr>
            </w:pPr>
            <w:r>
              <w:rPr>
                <w:rFonts w:hint="eastAsia"/>
                <w:color w:val="000000"/>
                <w:sz w:val="15"/>
                <w:szCs w:val="15"/>
                <w:lang w:val="zh-CN" w:bidi="zh-CN"/>
              </w:rPr>
              <w:t>否</w:t>
            </w:r>
          </w:p>
        </w:tc>
      </w:tr>
      <w:tr w14:paraId="6D9B4729">
        <w:tblPrEx>
          <w:tblCellMar>
            <w:top w:w="0" w:type="dxa"/>
            <w:left w:w="10" w:type="dxa"/>
            <w:bottom w:w="0" w:type="dxa"/>
            <w:right w:w="10" w:type="dxa"/>
          </w:tblCellMar>
        </w:tblPrEx>
        <w:trPr>
          <w:trHeight w:val="322" w:hRule="exact"/>
          <w:jc w:val="center"/>
        </w:trPr>
        <w:tc>
          <w:tcPr>
            <w:tcW w:w="1747" w:type="dxa"/>
            <w:tcBorders>
              <w:bottom w:val="single" w:color="auto" w:sz="4" w:space="0"/>
            </w:tcBorders>
            <w:shd w:val="clear" w:color="auto" w:fill="auto"/>
            <w:vAlign w:val="bottom"/>
          </w:tcPr>
          <w:p w14:paraId="58670D1F">
            <w:pPr>
              <w:pStyle w:val="67"/>
              <w:spacing w:line="240" w:lineRule="auto"/>
              <w:ind w:firstLine="520"/>
              <w:rPr>
                <w:sz w:val="15"/>
                <w:szCs w:val="15"/>
              </w:rPr>
            </w:pPr>
            <w:r>
              <w:rPr>
                <w:rFonts w:hint="eastAsia"/>
                <w:color w:val="000000"/>
                <w:sz w:val="15"/>
                <w:szCs w:val="15"/>
                <w:lang w:val="zh-CN" w:bidi="zh-CN"/>
              </w:rPr>
              <w:t>退火，延伸</w:t>
            </w:r>
          </w:p>
        </w:tc>
        <w:tc>
          <w:tcPr>
            <w:tcW w:w="3595" w:type="dxa"/>
            <w:tcBorders>
              <w:bottom w:val="single" w:color="auto" w:sz="4" w:space="0"/>
            </w:tcBorders>
            <w:shd w:val="clear" w:color="auto" w:fill="auto"/>
            <w:vAlign w:val="bottom"/>
          </w:tcPr>
          <w:p w14:paraId="6D0C39EF">
            <w:pPr>
              <w:pStyle w:val="67"/>
              <w:tabs>
                <w:tab w:val="left" w:pos="2185"/>
              </w:tabs>
              <w:spacing w:line="240" w:lineRule="auto"/>
              <w:ind w:firstLine="500"/>
              <w:jc w:val="both"/>
              <w:rPr>
                <w:sz w:val="15"/>
                <w:szCs w:val="15"/>
              </w:rPr>
            </w:pPr>
            <w:r>
              <w:rPr>
                <w:rFonts w:ascii="Times New Roman" w:hAnsi="Times New Roman" w:eastAsia="Times New Roman" w:cs="Times New Roman"/>
                <w:color w:val="000000"/>
                <w:sz w:val="15"/>
                <w:szCs w:val="15"/>
                <w:lang w:val="zh-CN" w:bidi="zh-CN"/>
              </w:rPr>
              <w:t>60</w:t>
            </w:r>
            <w:r>
              <w:rPr>
                <w:rFonts w:ascii="Times New Roman" w:hAnsi="Times New Roman" w:eastAsia="Times New Roman" w:cs="Times New Roman"/>
                <w:color w:val="000000"/>
                <w:sz w:val="15"/>
                <w:szCs w:val="15"/>
                <w:lang w:val="zh-CN" w:bidi="zh-CN"/>
              </w:rPr>
              <w:tab/>
            </w:r>
            <w:r>
              <w:rPr>
                <w:rFonts w:hint="eastAsia" w:ascii="Times New Roman" w:hAnsi="Times New Roman" w:cs="Times New Roman"/>
                <w:color w:val="000000"/>
                <w:sz w:val="15"/>
                <w:szCs w:val="15"/>
                <w:lang w:bidi="en-US"/>
              </w:rPr>
              <w:t>1min</w:t>
            </w:r>
          </w:p>
        </w:tc>
        <w:tc>
          <w:tcPr>
            <w:tcW w:w="1190" w:type="dxa"/>
            <w:tcBorders>
              <w:bottom w:val="single" w:color="auto" w:sz="4" w:space="0"/>
            </w:tcBorders>
            <w:shd w:val="clear" w:color="auto" w:fill="auto"/>
          </w:tcPr>
          <w:p w14:paraId="5407C128">
            <w:pPr>
              <w:rPr>
                <w:sz w:val="10"/>
                <w:szCs w:val="10"/>
              </w:rPr>
            </w:pPr>
          </w:p>
        </w:tc>
        <w:tc>
          <w:tcPr>
            <w:tcW w:w="1608" w:type="dxa"/>
            <w:tcBorders>
              <w:bottom w:val="single" w:color="auto" w:sz="4" w:space="0"/>
            </w:tcBorders>
            <w:shd w:val="clear" w:color="auto" w:fill="auto"/>
            <w:vAlign w:val="bottom"/>
          </w:tcPr>
          <w:p w14:paraId="0428A7A8">
            <w:pPr>
              <w:pStyle w:val="67"/>
              <w:spacing w:line="240" w:lineRule="auto"/>
              <w:ind w:firstLine="660"/>
              <w:rPr>
                <w:sz w:val="15"/>
                <w:szCs w:val="15"/>
              </w:rPr>
            </w:pPr>
            <w:r>
              <w:rPr>
                <w:rFonts w:hint="eastAsia"/>
                <w:color w:val="000000"/>
                <w:sz w:val="15"/>
                <w:szCs w:val="15"/>
                <w:lang w:val="zh-CN" w:bidi="zh-CN"/>
              </w:rPr>
              <w:t>是</w:t>
            </w:r>
          </w:p>
        </w:tc>
      </w:tr>
      <w:tr w14:paraId="41415691">
        <w:tblPrEx>
          <w:tblCellMar>
            <w:top w:w="0" w:type="dxa"/>
            <w:left w:w="10" w:type="dxa"/>
            <w:bottom w:w="0" w:type="dxa"/>
            <w:right w:w="10" w:type="dxa"/>
          </w:tblCellMar>
        </w:tblPrEx>
        <w:trPr>
          <w:trHeight w:val="322" w:hRule="exact"/>
          <w:jc w:val="center"/>
        </w:trPr>
        <w:tc>
          <w:tcPr>
            <w:tcW w:w="8140" w:type="dxa"/>
            <w:gridSpan w:val="4"/>
            <w:tcBorders>
              <w:top w:val="single" w:color="auto" w:sz="4" w:space="0"/>
            </w:tcBorders>
            <w:shd w:val="clear" w:color="auto" w:fill="auto"/>
            <w:vAlign w:val="bottom"/>
          </w:tcPr>
          <w:p w14:paraId="049D8E5B">
            <w:pPr>
              <w:pStyle w:val="67"/>
              <w:spacing w:line="240" w:lineRule="auto"/>
              <w:ind w:firstLine="660"/>
              <w:rPr>
                <w:color w:val="000000"/>
                <w:sz w:val="15"/>
                <w:szCs w:val="15"/>
                <w:lang w:val="zh-CN" w:bidi="zh-CN"/>
              </w:rPr>
            </w:pPr>
            <w:r>
              <w:rPr>
                <w:rFonts w:hint="eastAsia"/>
                <w:color w:val="000000"/>
                <w:sz w:val="15"/>
                <w:szCs w:val="15"/>
                <w:lang w:val="zh-CN" w:bidi="zh-CN"/>
              </w:rPr>
              <w:t>注：可使用其他等效的实时荧光</w:t>
            </w:r>
            <w:r>
              <w:rPr>
                <w:rFonts w:ascii="Times New Roman" w:hAnsi="Times New Roman" w:eastAsia="Times New Roman" w:cs="Times New Roman"/>
                <w:color w:val="000000"/>
                <w:sz w:val="15"/>
                <w:szCs w:val="15"/>
                <w:lang w:bidi="en-US"/>
              </w:rPr>
              <w:t>PCR</w:t>
            </w:r>
            <w:r>
              <w:rPr>
                <w:rFonts w:hint="eastAsia"/>
                <w:color w:val="000000"/>
                <w:sz w:val="15"/>
                <w:szCs w:val="15"/>
                <w:lang w:val="zh-CN" w:bidi="zh-CN"/>
              </w:rPr>
              <w:t>检测试剂盒进行，反应体系和反应参数可进行相应调整。</w:t>
            </w:r>
          </w:p>
        </w:tc>
      </w:tr>
    </w:tbl>
    <w:p w14:paraId="564B0107">
      <w:pPr>
        <w:spacing w:line="360" w:lineRule="auto"/>
        <w:rPr>
          <w:rFonts w:hint="eastAsia" w:ascii="黑体" w:hAnsi="黑体" w:eastAsia="黑体" w:cs="黑体"/>
          <w:color w:val="000000"/>
          <w:sz w:val="21"/>
          <w:lang w:eastAsia="zh-CN"/>
        </w:rPr>
      </w:pPr>
      <w:r>
        <w:rPr>
          <w:rFonts w:hint="eastAsia" w:ascii="黑体" w:hAnsi="黑体" w:eastAsia="黑体" w:cs="黑体"/>
          <w:color w:val="000000"/>
          <w:sz w:val="21"/>
          <w:lang w:eastAsia="zh-CN"/>
        </w:rPr>
        <w:t>9</w:t>
      </w:r>
      <w:r>
        <w:rPr>
          <w:rFonts w:hint="eastAsia" w:ascii="黑体" w:hAnsi="黑体" w:eastAsia="黑体" w:cs="黑体"/>
          <w:color w:val="000000"/>
          <w:sz w:val="21"/>
          <w:lang w:val="en-US" w:eastAsia="zh-CN"/>
        </w:rPr>
        <w:t xml:space="preserve">  </w:t>
      </w:r>
      <w:r>
        <w:rPr>
          <w:rFonts w:hint="eastAsia" w:ascii="黑体" w:hAnsi="黑体" w:eastAsia="黑体" w:cs="黑体"/>
          <w:color w:val="000000"/>
          <w:sz w:val="21"/>
          <w:lang w:eastAsia="zh-CN"/>
        </w:rPr>
        <w:t>结果判定</w:t>
      </w:r>
    </w:p>
    <w:p w14:paraId="0D70A6FC">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9.</w:t>
      </w:r>
      <w:r>
        <w:rPr>
          <w:rFonts w:ascii="黑体" w:hAnsi="黑体" w:eastAsia="黑体" w:cs="黑体"/>
          <w:color w:val="000000"/>
          <w:sz w:val="21"/>
          <w:lang w:eastAsia="zh-CN"/>
        </w:rPr>
        <w:t>1</w:t>
      </w:r>
      <w:r>
        <w:rPr>
          <w:rFonts w:hint="eastAsia" w:ascii="黑体" w:hAnsi="黑体" w:eastAsia="黑体" w:cs="黑体"/>
          <w:color w:val="000000"/>
          <w:sz w:val="21"/>
          <w:lang w:val="en-US" w:eastAsia="zh-CN"/>
        </w:rPr>
        <w:t xml:space="preserve"> </w:t>
      </w:r>
      <w:r>
        <w:rPr>
          <w:rFonts w:hint="eastAsia" w:ascii="黑体" w:hAnsi="黑体" w:eastAsia="黑体" w:cs="黑体"/>
          <w:color w:val="000000"/>
          <w:sz w:val="21"/>
          <w:lang w:eastAsia="zh-CN"/>
        </w:rPr>
        <w:t>普通</w:t>
      </w:r>
      <w:r>
        <w:rPr>
          <w:rFonts w:ascii="黑体" w:hAnsi="黑体" w:eastAsia="黑体" w:cs="黑体"/>
          <w:color w:val="000000"/>
          <w:sz w:val="21"/>
          <w:lang w:eastAsia="zh-CN"/>
        </w:rPr>
        <w:t>PCR</w:t>
      </w:r>
      <w:r>
        <w:rPr>
          <w:rFonts w:hint="eastAsia" w:ascii="黑体" w:hAnsi="黑体" w:eastAsia="黑体" w:cs="黑体"/>
          <w:color w:val="000000"/>
          <w:sz w:val="21"/>
          <w:lang w:eastAsia="zh-CN"/>
        </w:rPr>
        <w:t>结果判定</w:t>
      </w:r>
    </w:p>
    <w:p w14:paraId="3F3BC80A">
      <w:pPr>
        <w:spacing w:line="360" w:lineRule="auto"/>
        <w:rPr>
          <w:rFonts w:hint="default" w:ascii="Times New Roman" w:hAnsi="Times New Roman" w:eastAsia="宋体" w:cs="Times New Roman"/>
          <w:color w:val="000000"/>
          <w:sz w:val="21"/>
          <w:lang w:eastAsia="zh-CN"/>
        </w:rPr>
      </w:pPr>
      <w:r>
        <w:rPr>
          <w:rFonts w:hint="default" w:ascii="Times New Roman" w:hAnsi="Times New Roman" w:eastAsia="宋体" w:cs="Times New Roman"/>
          <w:color w:val="000000"/>
          <w:sz w:val="21"/>
          <w:lang w:eastAsia="zh-CN"/>
        </w:rPr>
        <w:t>9.1.1</w:t>
      </w:r>
      <w:r>
        <w:rPr>
          <w:rFonts w:hint="eastAsia" w:cs="Times New Roman"/>
          <w:color w:val="000000"/>
          <w:sz w:val="21"/>
          <w:lang w:val="en-US" w:eastAsia="zh-CN"/>
        </w:rPr>
        <w:t xml:space="preserve"> </w:t>
      </w:r>
      <w:r>
        <w:rPr>
          <w:rFonts w:hint="default" w:ascii="Times New Roman" w:hAnsi="Times New Roman" w:eastAsia="宋体" w:cs="Times New Roman"/>
          <w:color w:val="000000"/>
          <w:sz w:val="21"/>
          <w:lang w:eastAsia="zh-CN"/>
        </w:rPr>
        <w:t>结果分析</w:t>
      </w:r>
    </w:p>
    <w:p w14:paraId="1578CA4F">
      <w:pPr>
        <w:spacing w:line="360" w:lineRule="auto"/>
        <w:ind w:firstLine="420" w:firstLineChars="200"/>
        <w:rPr>
          <w:sz w:val="21"/>
          <w:szCs w:val="21"/>
          <w:lang w:eastAsia="zh-CN"/>
        </w:rPr>
      </w:pPr>
      <w:r>
        <w:rPr>
          <w:color w:val="000000"/>
          <w:sz w:val="21"/>
          <w:szCs w:val="21"/>
          <w:lang w:eastAsia="zh-CN"/>
        </w:rPr>
        <w:t xml:space="preserve"> PCR扩增产物经</w:t>
      </w:r>
      <w:r>
        <w:rPr>
          <w:sz w:val="21"/>
          <w:szCs w:val="21"/>
          <w:lang w:eastAsia="zh-CN"/>
        </w:rPr>
        <w:t xml:space="preserve">电泳鉴定，在紫外成像仪下观察PCR产物条带在凝胶中的位置，以100bp </w:t>
      </w:r>
      <w:r>
        <w:rPr>
          <w:rFonts w:hint="eastAsia"/>
          <w:sz w:val="21"/>
          <w:szCs w:val="21"/>
          <w:lang w:eastAsia="zh-CN"/>
        </w:rPr>
        <w:t xml:space="preserve">或200bp </w:t>
      </w:r>
      <w:r>
        <w:rPr>
          <w:sz w:val="21"/>
          <w:szCs w:val="21"/>
          <w:lang w:eastAsia="zh-CN"/>
        </w:rPr>
        <w:t>DNA ladder Marker为参照物，</w:t>
      </w:r>
      <w:r>
        <w:rPr>
          <w:rFonts w:hint="eastAsia"/>
          <w:sz w:val="21"/>
          <w:szCs w:val="21"/>
          <w:lang w:eastAsia="zh-CN"/>
        </w:rPr>
        <w:t>无可见目的条带或扩增条带与目的条带大小不符，结果判为阴性；扩增条带大小与目的条带大小相符，结果判为阳性</w:t>
      </w:r>
      <w:r>
        <w:rPr>
          <w:sz w:val="21"/>
          <w:szCs w:val="21"/>
          <w:lang w:eastAsia="zh-CN"/>
        </w:rPr>
        <w:t>。</w:t>
      </w:r>
    </w:p>
    <w:p w14:paraId="3D26A2A4">
      <w:pPr>
        <w:spacing w:line="360" w:lineRule="auto"/>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9.1.2</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lang w:eastAsia="zh-CN"/>
        </w:rPr>
        <w:t>结果验证</w:t>
      </w:r>
    </w:p>
    <w:p w14:paraId="7638D608">
      <w:pPr>
        <w:spacing w:line="360" w:lineRule="auto"/>
        <w:ind w:firstLine="420" w:firstLineChars="200"/>
        <w:rPr>
          <w:rFonts w:ascii="黑体" w:hAnsi="黑体" w:eastAsia="黑体" w:cs="黑体"/>
          <w:color w:val="000000"/>
          <w:sz w:val="21"/>
          <w:lang w:eastAsia="zh-CN"/>
        </w:rPr>
      </w:pPr>
      <w:r>
        <w:rPr>
          <w:sz w:val="21"/>
          <w:szCs w:val="21"/>
          <w:lang w:eastAsia="zh-CN"/>
        </w:rPr>
        <w:t>PCR阳性</w:t>
      </w:r>
      <w:r>
        <w:rPr>
          <w:rFonts w:hint="eastAsia"/>
          <w:sz w:val="21"/>
          <w:szCs w:val="21"/>
          <w:lang w:eastAsia="zh-CN"/>
        </w:rPr>
        <w:t>目的</w:t>
      </w:r>
      <w:r>
        <w:rPr>
          <w:sz w:val="21"/>
          <w:szCs w:val="21"/>
          <w:lang w:eastAsia="zh-CN"/>
        </w:rPr>
        <w:t>扩增片段进行测序，通过与Genbank 中</w:t>
      </w:r>
      <w:r>
        <w:rPr>
          <w:rFonts w:hint="eastAsia"/>
          <w:sz w:val="21"/>
          <w:szCs w:val="21"/>
          <w:lang w:eastAsia="zh-CN"/>
        </w:rPr>
        <w:t>MRV</w:t>
      </w:r>
      <w:r>
        <w:rPr>
          <w:sz w:val="21"/>
          <w:szCs w:val="21"/>
          <w:lang w:eastAsia="zh-CN"/>
        </w:rPr>
        <w:t>序列进行比对以确定PCR检测的准确性。</w:t>
      </w:r>
    </w:p>
    <w:p w14:paraId="60974D66">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9.2</w:t>
      </w:r>
      <w:r>
        <w:rPr>
          <w:rFonts w:hint="eastAsia" w:ascii="黑体" w:hAnsi="黑体" w:eastAsia="黑体" w:cs="黑体"/>
          <w:color w:val="000000"/>
          <w:sz w:val="21"/>
          <w:lang w:val="en-US" w:eastAsia="zh-CN"/>
        </w:rPr>
        <w:t xml:space="preserve"> </w:t>
      </w:r>
      <w:r>
        <w:rPr>
          <w:rFonts w:hint="eastAsia" w:ascii="黑体" w:hAnsi="黑体" w:eastAsia="黑体" w:cs="黑体"/>
          <w:color w:val="000000"/>
          <w:sz w:val="21"/>
          <w:lang w:eastAsia="zh-CN"/>
        </w:rPr>
        <w:t>实时荧光</w:t>
      </w:r>
      <w:r>
        <w:rPr>
          <w:rFonts w:ascii="黑体" w:hAnsi="黑体" w:eastAsia="黑体" w:cs="黑体"/>
          <w:color w:val="000000"/>
          <w:sz w:val="21"/>
          <w:lang w:eastAsia="zh-CN"/>
        </w:rPr>
        <w:t>PCR</w:t>
      </w:r>
      <w:r>
        <w:rPr>
          <w:rFonts w:hint="eastAsia" w:ascii="黑体" w:hAnsi="黑体" w:eastAsia="黑体" w:cs="黑体"/>
          <w:color w:val="000000"/>
          <w:sz w:val="21"/>
          <w:lang w:eastAsia="zh-CN"/>
        </w:rPr>
        <w:t>结果判定</w:t>
      </w:r>
    </w:p>
    <w:p w14:paraId="3235784D">
      <w:pPr>
        <w:spacing w:line="360" w:lineRule="auto"/>
        <w:rPr>
          <w:rFonts w:hint="default" w:ascii="Times New Roman" w:hAnsi="Times New Roman" w:eastAsia="宋体" w:cs="Times New Roman"/>
          <w:color w:val="000000"/>
          <w:sz w:val="21"/>
          <w:lang w:eastAsia="zh-CN"/>
        </w:rPr>
      </w:pPr>
      <w:r>
        <w:rPr>
          <w:rFonts w:hint="default" w:ascii="Times New Roman" w:hAnsi="Times New Roman" w:eastAsia="宋体" w:cs="Times New Roman"/>
          <w:color w:val="000000"/>
          <w:sz w:val="21"/>
          <w:lang w:eastAsia="zh-CN"/>
        </w:rPr>
        <w:t>9.2.1</w:t>
      </w:r>
      <w:r>
        <w:rPr>
          <w:rFonts w:hint="eastAsia" w:cs="Times New Roman"/>
          <w:color w:val="000000"/>
          <w:sz w:val="21"/>
          <w:lang w:val="en-US" w:eastAsia="zh-CN"/>
        </w:rPr>
        <w:t xml:space="preserve"> </w:t>
      </w:r>
      <w:r>
        <w:rPr>
          <w:rFonts w:hint="default" w:ascii="Times New Roman" w:hAnsi="Times New Roman" w:eastAsia="宋体" w:cs="Times New Roman"/>
          <w:color w:val="000000"/>
          <w:sz w:val="21"/>
          <w:lang w:eastAsia="zh-CN"/>
        </w:rPr>
        <w:t>结果分析条件设定</w:t>
      </w:r>
    </w:p>
    <w:p w14:paraId="4E3AC38E">
      <w:pPr>
        <w:spacing w:line="360" w:lineRule="auto"/>
        <w:rPr>
          <w:color w:val="000000"/>
          <w:sz w:val="21"/>
          <w:lang w:eastAsia="zh-CN"/>
        </w:rPr>
      </w:pPr>
      <w:r>
        <w:rPr>
          <w:rFonts w:hint="eastAsia"/>
          <w:color w:val="000000"/>
          <w:sz w:val="21"/>
          <w:lang w:eastAsia="zh-CN"/>
        </w:rPr>
        <w:t xml:space="preserve">    </w:t>
      </w:r>
      <w:r>
        <w:rPr>
          <w:color w:val="000000"/>
          <w:sz w:val="21"/>
          <w:lang w:eastAsia="zh-CN"/>
        </w:rPr>
        <w:t>综合分析仪器给出的各项结果.基线以仪器给出的默认值作为参考.阈值设定原则以阈值线刚好超 过正常阴性对照扩增曲线的最高点为准,具体根据仪器噪音情况进行调整•选择FAM通道进行分析。</w:t>
      </w:r>
    </w:p>
    <w:p w14:paraId="4CA9B876">
      <w:pPr>
        <w:spacing w:line="360" w:lineRule="auto"/>
        <w:rPr>
          <w:rFonts w:hint="default" w:ascii="Times New Roman" w:hAnsi="Times New Roman" w:eastAsia="宋体" w:cs="Times New Roman"/>
          <w:color w:val="000000"/>
          <w:sz w:val="21"/>
          <w:lang w:eastAsia="zh-CN"/>
        </w:rPr>
      </w:pPr>
      <w:r>
        <w:rPr>
          <w:rFonts w:hint="default" w:ascii="Times New Roman" w:hAnsi="Times New Roman" w:eastAsia="宋体" w:cs="Times New Roman"/>
          <w:color w:val="000000"/>
          <w:sz w:val="21"/>
          <w:lang w:eastAsia="zh-CN"/>
        </w:rPr>
        <w:t>9.2.2</w:t>
      </w:r>
      <w:r>
        <w:rPr>
          <w:rFonts w:hint="eastAsia" w:cs="Times New Roman"/>
          <w:color w:val="000000"/>
          <w:sz w:val="21"/>
          <w:lang w:val="en-US" w:eastAsia="zh-CN"/>
        </w:rPr>
        <w:t xml:space="preserve"> </w:t>
      </w:r>
      <w:r>
        <w:rPr>
          <w:rFonts w:hint="default" w:ascii="Times New Roman" w:hAnsi="Times New Roman" w:eastAsia="宋体" w:cs="Times New Roman"/>
          <w:color w:val="000000"/>
          <w:sz w:val="21"/>
          <w:lang w:eastAsia="zh-CN"/>
        </w:rPr>
        <w:t>质控标准</w:t>
      </w:r>
    </w:p>
    <w:p w14:paraId="1A62D5AB">
      <w:pPr>
        <w:spacing w:line="360" w:lineRule="auto"/>
        <w:rPr>
          <w:color w:val="000000"/>
          <w:sz w:val="21"/>
          <w:lang w:eastAsia="zh-CN"/>
        </w:rPr>
      </w:pPr>
      <w:r>
        <w:rPr>
          <w:rFonts w:hint="eastAsia"/>
          <w:color w:val="000000"/>
          <w:sz w:val="21"/>
          <w:lang w:eastAsia="zh-CN"/>
        </w:rPr>
        <w:t xml:space="preserve">    </w:t>
      </w:r>
      <w:r>
        <w:rPr>
          <w:color w:val="000000"/>
          <w:sz w:val="21"/>
          <w:lang w:eastAsia="zh-CN"/>
        </w:rPr>
        <w:t>阳性对照样品有对数扩增曲线.而且</w:t>
      </w:r>
      <w:r>
        <w:rPr>
          <w:rFonts w:hint="eastAsia"/>
          <w:color w:val="000000"/>
          <w:sz w:val="21"/>
          <w:lang w:eastAsia="zh-CN"/>
        </w:rPr>
        <w:t>Ct值＜30</w:t>
      </w:r>
      <w:r>
        <w:rPr>
          <w:color w:val="000000"/>
          <w:sz w:val="21"/>
          <w:lang w:eastAsia="zh-CN"/>
        </w:rPr>
        <w:t>。</w:t>
      </w:r>
    </w:p>
    <w:p w14:paraId="2D7DB262">
      <w:pPr>
        <w:spacing w:line="360" w:lineRule="auto"/>
        <w:rPr>
          <w:color w:val="000000"/>
          <w:sz w:val="21"/>
          <w:lang w:eastAsia="zh-CN"/>
        </w:rPr>
      </w:pPr>
      <w:r>
        <w:rPr>
          <w:rFonts w:hint="eastAsia"/>
          <w:color w:val="000000"/>
          <w:sz w:val="21"/>
          <w:lang w:eastAsia="zh-CN"/>
        </w:rPr>
        <w:t xml:space="preserve">    </w:t>
      </w:r>
      <w:r>
        <w:rPr>
          <w:color w:val="000000"/>
          <w:sz w:val="21"/>
          <w:lang w:eastAsia="zh-CN"/>
        </w:rPr>
        <w:t>阴性对照和空白对照无Ct值并且无扩增曲线.</w:t>
      </w:r>
    </w:p>
    <w:p w14:paraId="6280399E">
      <w:pPr>
        <w:spacing w:line="360" w:lineRule="auto"/>
        <w:rPr>
          <w:color w:val="000000"/>
          <w:sz w:val="21"/>
          <w:lang w:eastAsia="zh-CN"/>
        </w:rPr>
      </w:pPr>
      <w:r>
        <w:rPr>
          <w:rFonts w:hint="eastAsia"/>
          <w:color w:val="000000"/>
          <w:sz w:val="21"/>
          <w:lang w:eastAsia="zh-CN"/>
        </w:rPr>
        <w:t xml:space="preserve">    </w:t>
      </w:r>
      <w:r>
        <w:rPr>
          <w:color w:val="000000"/>
          <w:sz w:val="21"/>
          <w:lang w:eastAsia="zh-CN"/>
        </w:rPr>
        <w:t>二者均成立才可判定试验成立。</w:t>
      </w:r>
    </w:p>
    <w:p w14:paraId="7F691F3C">
      <w:pPr>
        <w:spacing w:line="360" w:lineRule="auto"/>
        <w:rPr>
          <w:rFonts w:hint="default" w:ascii="Times New Roman" w:hAnsi="Times New Roman" w:eastAsia="宋体" w:cs="Times New Roman"/>
          <w:color w:val="000000"/>
          <w:sz w:val="21"/>
          <w:lang w:eastAsia="zh-CN"/>
        </w:rPr>
      </w:pPr>
      <w:r>
        <w:rPr>
          <w:rFonts w:hint="default" w:ascii="Times New Roman" w:hAnsi="Times New Roman" w:eastAsia="宋体" w:cs="Times New Roman"/>
          <w:color w:val="000000"/>
          <w:sz w:val="21"/>
          <w:lang w:eastAsia="zh-CN"/>
        </w:rPr>
        <w:t>9.2.3</w:t>
      </w:r>
      <w:r>
        <w:rPr>
          <w:rFonts w:hint="default" w:ascii="Times New Roman" w:hAnsi="Times New Roman" w:eastAsia="宋体" w:cs="Times New Roman"/>
          <w:color w:val="000000"/>
          <w:sz w:val="21"/>
          <w:lang w:val="en-US" w:eastAsia="zh-CN"/>
        </w:rPr>
        <w:t xml:space="preserve"> </w:t>
      </w:r>
      <w:r>
        <w:rPr>
          <w:rFonts w:hint="default" w:ascii="Times New Roman" w:hAnsi="Times New Roman" w:eastAsia="宋体" w:cs="Times New Roman"/>
          <w:color w:val="000000"/>
          <w:sz w:val="21"/>
          <w:lang w:eastAsia="zh-CN"/>
        </w:rPr>
        <w:t>结果描述及判定</w:t>
      </w:r>
    </w:p>
    <w:p w14:paraId="4A4578E6">
      <w:pPr>
        <w:spacing w:line="360" w:lineRule="auto"/>
        <w:rPr>
          <w:color w:val="000000"/>
          <w:sz w:val="21"/>
          <w:lang w:eastAsia="zh-CN"/>
        </w:rPr>
      </w:pPr>
      <w:r>
        <w:rPr>
          <w:rFonts w:hint="eastAsia"/>
          <w:color w:val="000000"/>
          <w:sz w:val="21"/>
          <w:lang w:eastAsia="zh-CN"/>
        </w:rPr>
        <w:t xml:space="preserve">    被检样品Ct值≤35，且出现典型扩增曲线，判为小鼠轮状病毒阳性；35＜Ct值≤40且出现典型扩增曲线，判为可疑，需复检，复检仍出现35＜Ct值≤40，并且曲线有明显的对数增长期，判为阳性；否则判为阴性。</w:t>
      </w:r>
    </w:p>
    <w:p w14:paraId="6D9FD738">
      <w:pPr>
        <w:spacing w:line="360" w:lineRule="auto"/>
        <w:rPr>
          <w:color w:val="000000"/>
          <w:sz w:val="21"/>
          <w:lang w:eastAsia="zh-CN"/>
        </w:rPr>
      </w:pPr>
      <w:r>
        <w:rPr>
          <w:rFonts w:hint="eastAsia"/>
          <w:color w:val="000000"/>
          <w:sz w:val="21"/>
          <w:lang w:eastAsia="zh-CN"/>
        </w:rPr>
        <w:t>无Ct值或Ct值＞40且无特征性扩增曲线，判为阴性。</w:t>
      </w:r>
    </w:p>
    <w:p w14:paraId="0291A5AD">
      <w:pPr>
        <w:pStyle w:val="61"/>
        <w:spacing w:after="160" w:line="322" w:lineRule="exact"/>
        <w:ind w:firstLine="440"/>
        <w:jc w:val="both"/>
        <w:rPr>
          <w:lang w:val="en-US"/>
        </w:rPr>
      </w:pPr>
    </w:p>
    <w:p w14:paraId="3B01123E">
      <w:pPr>
        <w:spacing w:line="360" w:lineRule="auto"/>
        <w:ind w:firstLine="420" w:firstLineChars="200"/>
        <w:jc w:val="center"/>
        <w:rPr>
          <w:rFonts w:ascii="黑体" w:hAnsi="黑体" w:eastAsia="黑体" w:cs="黑体"/>
          <w:color w:val="000000"/>
          <w:szCs w:val="32"/>
          <w:lang w:eastAsia="zh-CN"/>
        </w:rPr>
      </w:pPr>
      <w:r>
        <w:rPr>
          <w:rFonts w:hint="eastAsia" w:ascii="宋体" w:hAnsi="宋体"/>
          <w:b/>
          <w:bCs/>
          <w:color w:val="000000"/>
          <w:sz w:val="21"/>
          <w:lang w:eastAsia="zh-CN"/>
        </w:rPr>
        <w:br w:type="page"/>
      </w:r>
      <w:r>
        <w:rPr>
          <w:rFonts w:hint="eastAsia" w:ascii="宋体" w:hAnsi="宋体"/>
          <w:b/>
          <w:bCs/>
          <w:color w:val="000000"/>
          <w:sz w:val="21"/>
          <w:lang w:eastAsia="zh-CN"/>
        </w:rPr>
        <w:t xml:space="preserve"> </w:t>
      </w:r>
      <w:r>
        <w:rPr>
          <w:rFonts w:hint="eastAsia" w:ascii="黑体" w:hAnsi="黑体" w:eastAsia="黑体" w:cs="黑体"/>
          <w:color w:val="000000"/>
          <w:szCs w:val="32"/>
          <w:lang w:eastAsia="zh-CN"/>
        </w:rPr>
        <w:t xml:space="preserve">附录A </w:t>
      </w:r>
    </w:p>
    <w:p w14:paraId="542EADB6">
      <w:pPr>
        <w:spacing w:line="360" w:lineRule="auto"/>
        <w:ind w:firstLine="480" w:firstLineChars="200"/>
        <w:jc w:val="center"/>
        <w:rPr>
          <w:rFonts w:ascii="黑体" w:hAnsi="黑体" w:eastAsia="黑体" w:cs="黑体"/>
          <w:color w:val="000000"/>
          <w:szCs w:val="32"/>
          <w:lang w:eastAsia="zh-CN"/>
        </w:rPr>
      </w:pPr>
      <w:r>
        <w:rPr>
          <w:rFonts w:hint="eastAsia" w:ascii="黑体" w:hAnsi="黑体" w:eastAsia="黑体" w:cs="黑体"/>
          <w:color w:val="000000"/>
          <w:szCs w:val="32"/>
          <w:lang w:eastAsia="zh-CN"/>
        </w:rPr>
        <w:t>（规范性附录）</w:t>
      </w:r>
    </w:p>
    <w:p w14:paraId="6190F607">
      <w:pPr>
        <w:spacing w:line="360" w:lineRule="auto"/>
        <w:ind w:firstLine="640" w:firstLineChars="200"/>
        <w:rPr>
          <w:rFonts w:ascii="黑体" w:hAnsi="黑体" w:eastAsia="黑体" w:cs="黑体"/>
          <w:color w:val="000000"/>
          <w:sz w:val="32"/>
          <w:szCs w:val="40"/>
          <w:lang w:eastAsia="zh-CN"/>
        </w:rPr>
      </w:pPr>
      <w:r>
        <w:rPr>
          <w:rFonts w:hint="eastAsia" w:ascii="黑体" w:hAnsi="黑体" w:eastAsia="黑体" w:cs="黑体"/>
          <w:color w:val="000000"/>
          <w:sz w:val="32"/>
          <w:szCs w:val="40"/>
          <w:lang w:eastAsia="zh-CN"/>
        </w:rPr>
        <w:t xml:space="preserve">    </w:t>
      </w:r>
      <w:r>
        <w:rPr>
          <w:rFonts w:hint="eastAsia" w:ascii="黑体" w:hAnsi="黑体" w:eastAsia="黑体" w:cs="黑体"/>
          <w:color w:val="000000"/>
          <w:sz w:val="32"/>
          <w:szCs w:val="40"/>
          <w:lang w:val="en-US" w:eastAsia="zh-CN"/>
        </w:rPr>
        <w:t xml:space="preserve">     </w:t>
      </w:r>
      <w:r>
        <w:rPr>
          <w:rFonts w:hint="eastAsia" w:ascii="黑体" w:hAnsi="黑体" w:eastAsia="黑体" w:cs="黑体"/>
          <w:color w:val="000000"/>
          <w:sz w:val="32"/>
          <w:szCs w:val="40"/>
          <w:lang w:eastAsia="zh-CN"/>
        </w:rPr>
        <w:t>小鼠轮状病毒阳性质粒参考序列</w:t>
      </w:r>
      <w:r>
        <w:rPr>
          <w:rFonts w:ascii="宋体" w:hAnsi="宋体"/>
          <w:color w:val="000000"/>
          <w:sz w:val="21"/>
          <w:lang w:eastAsia="zh-CN"/>
        </w:rPr>
        <w:t>GGCTTTAAAAGCGCTACAGTGATGTCTCTCAGTATTGACGTGACAAGTCTTCCTTCATTTTCTTCCAGCGTTTTCAAACATGATTCGAACTCAGCATCGTCAACTATTTCTGGAAAATCTATTGGTAGGAGTGAACAGTACATTTCACCAGATGCCGAAGCATTCAACAAGTACATGTTGTCGAAATCTCCAGACGATATTGGACCATCTGATTCTGCTTCGAACGATCCACTCACCAGCTTTTCGATTAAATCGAATGCAGTTAAGACAAATGCAGACGCTGGCGTGTCTATGGATTCATGCTCACAATCACGACCTTCAAGTGGTGTCGGATGCAATCAAGTGGATCTCGCCTTAAATGTAGTATGCGATTACCAGAAAAGCAGTTACAAGAAGGACACCACAAGGTCAAAAATTGCGAATCATAAAGTTGAGTCACACAAAAGATCTGTTGTTTTTCCGAAAATTGAAGCAGAATCAGACTCGGACGAATACGTACTAGACGATTCAGATAGCGATGATGGTAAATGTGTTAACTGTAAATACAAGAGGAAATACTTTGCACTCAGGTCACGTATGAAACAAGTCGCTATGCAACTGATCGAGGATTTGTAAGTCTAACCTGAGAGGTCGCTAGGGAGCTCCCCACTCCCGTTTTGTGACC</w:t>
      </w:r>
      <w:bookmarkStart w:id="0" w:name="_GoBack"/>
      <w:bookmarkEnd w:id="0"/>
    </w:p>
    <w:p w14:paraId="0D7D3742">
      <w:pPr>
        <w:spacing w:line="360" w:lineRule="auto"/>
        <w:ind w:firstLine="420" w:firstLineChars="200"/>
        <w:rPr>
          <w:rFonts w:ascii="宋体" w:hAnsi="宋体"/>
          <w:color w:val="000000"/>
          <w:sz w:val="21"/>
          <w:lang w:eastAsia="zh-CN"/>
        </w:rPr>
      </w:pPr>
    </w:p>
    <w:p w14:paraId="00ADDF17">
      <w:pPr>
        <w:spacing w:line="360" w:lineRule="auto"/>
        <w:ind w:firstLine="420" w:firstLineChars="200"/>
        <w:rPr>
          <w:rFonts w:ascii="宋体" w:hAnsi="宋体"/>
          <w:color w:val="000000"/>
          <w:sz w:val="21"/>
          <w:lang w:eastAsia="zh-CN"/>
        </w:rPr>
      </w:pPr>
    </w:p>
    <w:p w14:paraId="47D6EA54">
      <w:pPr>
        <w:spacing w:line="360" w:lineRule="auto"/>
        <w:ind w:firstLine="420" w:firstLineChars="200"/>
        <w:jc w:val="center"/>
        <w:rPr>
          <w:rFonts w:ascii="宋体" w:hAnsi="宋体"/>
          <w:color w:val="000000"/>
          <w:sz w:val="21"/>
          <w:lang w:eastAsia="zh-CN"/>
        </w:rPr>
      </w:pPr>
      <w:r>
        <w:rPr>
          <w:rFonts w:hint="eastAsia" w:ascii="宋体" w:hAnsi="宋体"/>
          <w:b/>
          <w:bCs/>
          <w:color w:val="000000"/>
          <w:sz w:val="21"/>
          <w:lang w:eastAsia="zh-CN"/>
        </w:rPr>
        <w:t>-------------------------</w:t>
      </w:r>
    </w:p>
    <w:p w14:paraId="4A0AC27E">
      <w:pPr>
        <w:spacing w:line="360" w:lineRule="auto"/>
        <w:ind w:firstLine="420" w:firstLineChars="200"/>
        <w:rPr>
          <w:rFonts w:ascii="宋体" w:hAnsi="宋体"/>
          <w:color w:val="000000"/>
          <w:sz w:val="21"/>
          <w:lang w:eastAsia="zh-CN"/>
        </w:rPr>
      </w:pPr>
    </w:p>
    <w:sectPr>
      <w:headerReference r:id="rId10" w:type="default"/>
      <w:headerReference r:id="rId11" w:type="even"/>
      <w:pgSz w:w="11906" w:h="16838"/>
      <w:pgMar w:top="1440" w:right="1797" w:bottom="1440" w:left="1797" w:header="851" w:footer="992" w:gutter="0"/>
      <w:pgNumType w:start="1"/>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Book Antiqua">
    <w:panose1 w:val="02040602050305030304"/>
    <w:charset w:val="00"/>
    <w:family w:val="roman"/>
    <w:pitch w:val="default"/>
    <w:sig w:usb0="00000287" w:usb1="00000000" w:usb2="00000000" w:usb3="00000000" w:csb0="2000009F" w:csb1="DFD70000"/>
  </w:font>
  <w:font w:name="GBK_S">
    <w:altName w:val="宋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585DC1">
    <w:pPr>
      <w:pStyle w:val="16"/>
      <w:ind w:right="360"/>
    </w:pPr>
    <w:r>
      <w:pict>
        <v:shape id="文本框2" o:spid="_x0000_s1025"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14:paraId="0031EA40">
                <w:pPr>
                  <w:pStyle w:val="16"/>
                  <w:rPr>
                    <w:rStyle w:val="24"/>
                  </w:rPr>
                </w:pPr>
                <w:r>
                  <w:fldChar w:fldCharType="begin"/>
                </w:r>
                <w:r>
                  <w:rPr>
                    <w:rStyle w:val="24"/>
                  </w:rPr>
                  <w:instrText xml:space="preserve">PAGE  </w:instrText>
                </w:r>
                <w:r>
                  <w:fldChar w:fldCharType="separate"/>
                </w:r>
                <w:r>
                  <w:rPr>
                    <w:rStyle w:val="24"/>
                  </w:rPr>
                  <w:t>8</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13A3A0">
    <w:pPr>
      <w:pStyle w:val="1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8137AE">
    <w:pPr>
      <w:pStyle w:val="16"/>
    </w:pPr>
    <w:r>
      <w:pict>
        <v:shape id="文本框3" o:spid="_x0000_s1026"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joinstyle="miter"/>
          <v:imagedata o:title=""/>
          <o:lock v:ext="edit"/>
          <v:textbox inset="0mm,0mm,0mm,0mm" style="mso-fit-shape-to-text:t;">
            <w:txbxContent>
              <w:p w14:paraId="47100B10">
                <w:pPr>
                  <w:snapToGrid w:val="0"/>
                  <w:rPr>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lang w:eastAsia="zh-CN"/>
                  </w:rPr>
                  <w:t>0</w:t>
                </w:r>
                <w:r>
                  <w:rPr>
                    <w:rFonts w:hint="eastAsia"/>
                    <w:sz w:val="18"/>
                    <w:lang w:eastAsia="zh-CN"/>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E77961">
    <w:pPr>
      <w:pStyle w:val="1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ADEF37">
    <w:pPr>
      <w:pStyle w:val="17"/>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1BD7E7">
    <w:pPr>
      <w:pStyle w:val="17"/>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94D1CA">
    <w:pPr>
      <w:pStyle w:val="17"/>
      <w:pBdr>
        <w:bottom w:val="none" w:color="auto" w:sz="0" w:space="0"/>
      </w:pBdr>
      <w:tabs>
        <w:tab w:val="clear" w:pos="4153"/>
        <w:tab w:val="clear" w:pos="8306"/>
      </w:tabs>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9D6A67">
    <w:pPr>
      <w:spacing w:line="1" w:lineRule="exact"/>
    </w:pPr>
    <w:r>
      <w:pict>
        <v:shape id="_x0000_s1029" o:spid="_x0000_s1029" o:spt="202" type="#_x0000_t202" style="position:absolute;left:0pt;margin-left:44.65pt;margin-top:49.45pt;height:9.85pt;width:180.95pt;mso-position-horizontal-relative:page;mso-position-vertical-relative:page;mso-wrap-style:none;z-index:-251655168;mso-width-relative:page;mso-height-relative:page;" filled="f" stroked="f" coordsize="21600,21600">
          <v:path/>
          <v:fill on="f" focussize="0,0"/>
          <v:stroke on="f" joinstyle="miter"/>
          <v:imagedata o:title=""/>
          <o:lock v:ext="edit"/>
          <v:textbox inset="0mm,0mm,0mm,0mm" style="mso-fit-shape-to-text:t;">
            <w:txbxContent>
              <w:p w14:paraId="583B18DA">
                <w:pPr>
                  <w:pStyle w:val="63"/>
                  <w:rPr>
                    <w:sz w:val="18"/>
                    <w:szCs w:val="18"/>
                  </w:rPr>
                </w:pPr>
              </w:p>
            </w:txbxContent>
          </v:textbox>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7C64C7">
    <w:pPr>
      <w:spacing w:line="1" w:lineRule="exact"/>
    </w:pPr>
    <w:r>
      <w:pict>
        <v:shape id="_x0000_s1030" o:spid="_x0000_s1030" o:spt="202" type="#_x0000_t202" style="position:absolute;left:0pt;margin-left:44.65pt;margin-top:49.45pt;height:9.85pt;width:180.95pt;mso-position-horizontal-relative:page;mso-position-vertical-relative:page;mso-wrap-style:none;z-index:-251654144;mso-width-relative:page;mso-height-relative:page;" filled="f" stroked="f" coordsize="21600,21600">
          <v:path/>
          <v:fill on="f" focussize="0,0"/>
          <v:stroke on="f" joinstyle="miter"/>
          <v:imagedata o:title=""/>
          <o:lock v:ext="edit"/>
          <v:textbox inset="0mm,0mm,0mm,0mm" style="mso-fit-shape-to-text:t;">
            <w:txbxContent>
              <w:p w14:paraId="07243C9A">
                <w:pPr>
                  <w:pStyle w:val="63"/>
                  <w:rPr>
                    <w:sz w:val="18"/>
                    <w:szCs w:val="18"/>
                  </w:rPr>
                </w:pPr>
                <w:r>
                  <w:fldChar w:fldCharType="begin"/>
                </w:r>
                <w:r>
                  <w:instrText xml:space="preserve"> PAGE \* MERGEFORMAT </w:instrText>
                </w:r>
                <w:r>
                  <w:fldChar w:fldCharType="separate"/>
                </w:r>
                <w:r>
                  <w:rPr>
                    <w:b/>
                    <w:bCs/>
                  </w:rPr>
                  <w:t>164</w:t>
                </w:r>
                <w:r>
                  <w:rPr>
                    <w:b/>
                    <w:bCs/>
                  </w:rPr>
                  <w:fldChar w:fldCharType="end"/>
                </w:r>
                <w:r>
                  <w:rPr>
                    <w:b/>
                    <w:bCs/>
                    <w:color w:val="000000"/>
                  </w:rPr>
                  <w:t xml:space="preserve"> </w:t>
                </w:r>
                <w:r>
                  <w:rPr>
                    <w:rFonts w:ascii="黑体" w:hAnsi="黑体" w:eastAsia="黑体" w:cs="黑体"/>
                    <w:color w:val="000000"/>
                    <w:sz w:val="18"/>
                    <w:szCs w:val="18"/>
                  </w:rPr>
                  <w:t>，，第三篇实验动物检测方法系列标准</w:t>
                </w:r>
              </w:p>
            </w:txbxContent>
          </v:textbox>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NotTrackMoves/>
  <w:documentProtection w:enforcement="0"/>
  <w:defaultTabStop w:val="425"/>
  <w:drawingGridHorizontalSpacing w:val="0"/>
  <w:drawingGridVerticalSpacing w:val="156"/>
  <w:displayHorizontalDrawingGridEvery w:val="0"/>
  <w:displayVerticalDrawingGridEvery w:val="2"/>
  <w:characterSpacingControl w:val="compressPunctuation"/>
  <w:doNotValidateAgainstSchema/>
  <w:doNotDemarcateInvalidXml/>
  <w:hdrShapeDefaults>
    <o:shapelayout v:ext="edit">
      <o:idmap v:ext="edit" data="1"/>
    </o:shapelayout>
  </w:hdrShapeDefaults>
  <w:compat>
    <w:spaceForUL/>
    <w:balanceSingleByteDoubleByteWidth/>
    <w:doNotLeaveBackslashAlone/>
    <w:ulTrailSpace/>
    <w:doNotExpandShiftReturn/>
    <w:shapeLayoutLikeWW8/>
    <w:alignTablesRowByRow/>
    <w:doNotUseHTMLParagraphAutoSpacing/>
    <w:useWord97LineBreakRules/>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DA2ZjA5Mjc1NTEyZGY5OTFhMjI2ZWI2MTFlY2RlMTAifQ=="/>
  </w:docVars>
  <w:rsids>
    <w:rsidRoot w:val="00172A27"/>
    <w:rsid w:val="000272C9"/>
    <w:rsid w:val="00034AD2"/>
    <w:rsid w:val="000619E6"/>
    <w:rsid w:val="000B40C8"/>
    <w:rsid w:val="000C2F2B"/>
    <w:rsid w:val="00122E72"/>
    <w:rsid w:val="00163C95"/>
    <w:rsid w:val="00172A27"/>
    <w:rsid w:val="0018360B"/>
    <w:rsid w:val="001C6EF9"/>
    <w:rsid w:val="001F3624"/>
    <w:rsid w:val="00217BCD"/>
    <w:rsid w:val="00280064"/>
    <w:rsid w:val="002C23EB"/>
    <w:rsid w:val="002E2182"/>
    <w:rsid w:val="002F298F"/>
    <w:rsid w:val="002F6FA4"/>
    <w:rsid w:val="003452E1"/>
    <w:rsid w:val="00353D83"/>
    <w:rsid w:val="00376A9F"/>
    <w:rsid w:val="003C703B"/>
    <w:rsid w:val="00421E09"/>
    <w:rsid w:val="00434AC0"/>
    <w:rsid w:val="0044780F"/>
    <w:rsid w:val="00521D3E"/>
    <w:rsid w:val="005229ED"/>
    <w:rsid w:val="005C16CA"/>
    <w:rsid w:val="005D2FE9"/>
    <w:rsid w:val="005E54B1"/>
    <w:rsid w:val="006352CD"/>
    <w:rsid w:val="00670CD3"/>
    <w:rsid w:val="00674DFE"/>
    <w:rsid w:val="006E41FA"/>
    <w:rsid w:val="006F4C01"/>
    <w:rsid w:val="00741223"/>
    <w:rsid w:val="00787708"/>
    <w:rsid w:val="0079728C"/>
    <w:rsid w:val="007A33DB"/>
    <w:rsid w:val="007D2429"/>
    <w:rsid w:val="007E7DFF"/>
    <w:rsid w:val="007F1CD2"/>
    <w:rsid w:val="008303E9"/>
    <w:rsid w:val="008A2FB8"/>
    <w:rsid w:val="008B6BCE"/>
    <w:rsid w:val="008E659E"/>
    <w:rsid w:val="009163FD"/>
    <w:rsid w:val="00920461"/>
    <w:rsid w:val="009C0F60"/>
    <w:rsid w:val="009C75AA"/>
    <w:rsid w:val="009D3DB7"/>
    <w:rsid w:val="009E6396"/>
    <w:rsid w:val="00A10A17"/>
    <w:rsid w:val="00A340D1"/>
    <w:rsid w:val="00AB77F0"/>
    <w:rsid w:val="00B27A6E"/>
    <w:rsid w:val="00B939D6"/>
    <w:rsid w:val="00BA314C"/>
    <w:rsid w:val="00BA3594"/>
    <w:rsid w:val="00BB0EDF"/>
    <w:rsid w:val="00C1653E"/>
    <w:rsid w:val="00C55E88"/>
    <w:rsid w:val="00CB30D4"/>
    <w:rsid w:val="00D0413F"/>
    <w:rsid w:val="00D26C43"/>
    <w:rsid w:val="00D772B7"/>
    <w:rsid w:val="00DC2C3B"/>
    <w:rsid w:val="00DE02C4"/>
    <w:rsid w:val="00DE194A"/>
    <w:rsid w:val="00E11056"/>
    <w:rsid w:val="00E47509"/>
    <w:rsid w:val="00EB6A6F"/>
    <w:rsid w:val="00EC0CBA"/>
    <w:rsid w:val="00EE281B"/>
    <w:rsid w:val="00EF7926"/>
    <w:rsid w:val="00F56D41"/>
    <w:rsid w:val="00F9758C"/>
    <w:rsid w:val="00FD1183"/>
    <w:rsid w:val="00FD67C5"/>
    <w:rsid w:val="00FF46C8"/>
    <w:rsid w:val="01243261"/>
    <w:rsid w:val="03DE37AB"/>
    <w:rsid w:val="052D57C2"/>
    <w:rsid w:val="0B8C79A0"/>
    <w:rsid w:val="0E8C6E3E"/>
    <w:rsid w:val="0FBF2686"/>
    <w:rsid w:val="11FC7EAB"/>
    <w:rsid w:val="16FA57BE"/>
    <w:rsid w:val="25A07824"/>
    <w:rsid w:val="276B6C1D"/>
    <w:rsid w:val="2A902874"/>
    <w:rsid w:val="2A9E0A92"/>
    <w:rsid w:val="2CDD5276"/>
    <w:rsid w:val="2F225285"/>
    <w:rsid w:val="3168799C"/>
    <w:rsid w:val="39671C70"/>
    <w:rsid w:val="4A184F40"/>
    <w:rsid w:val="4D4667D9"/>
    <w:rsid w:val="4F8970B8"/>
    <w:rsid w:val="522F60E5"/>
    <w:rsid w:val="53290751"/>
    <w:rsid w:val="54080CF8"/>
    <w:rsid w:val="57C56077"/>
    <w:rsid w:val="581F3B12"/>
    <w:rsid w:val="61E847C6"/>
    <w:rsid w:val="68151D76"/>
    <w:rsid w:val="6923653C"/>
    <w:rsid w:val="6C115D0A"/>
    <w:rsid w:val="6C8F0F67"/>
    <w:rsid w:val="7AAE415C"/>
    <w:rsid w:val="7C175198"/>
    <w:rsid w:val="7D4F4535"/>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nhideWhenUsed="0" w:uiPriority="9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sz w:val="24"/>
      <w:szCs w:val="24"/>
      <w:lang w:val="en-US" w:eastAsia="en-US" w:bidi="en-US"/>
    </w:rPr>
  </w:style>
  <w:style w:type="paragraph" w:styleId="2">
    <w:name w:val="heading 1"/>
    <w:basedOn w:val="1"/>
    <w:next w:val="1"/>
    <w:link w:val="27"/>
    <w:qFormat/>
    <w:uiPriority w:val="0"/>
    <w:pPr>
      <w:keepNext/>
      <w:spacing w:before="240" w:after="60"/>
      <w:outlineLvl w:val="0"/>
    </w:pPr>
    <w:rPr>
      <w:rFonts w:ascii="Cambria" w:hAnsi="Cambria"/>
      <w:b/>
      <w:bCs/>
      <w:kern w:val="32"/>
      <w:sz w:val="32"/>
      <w:szCs w:val="32"/>
      <w:lang w:bidi="ar-SA"/>
    </w:rPr>
  </w:style>
  <w:style w:type="paragraph" w:styleId="3">
    <w:name w:val="heading 2"/>
    <w:basedOn w:val="1"/>
    <w:next w:val="1"/>
    <w:link w:val="28"/>
    <w:qFormat/>
    <w:uiPriority w:val="0"/>
    <w:pPr>
      <w:keepNext/>
      <w:spacing w:before="240" w:after="60"/>
      <w:outlineLvl w:val="1"/>
    </w:pPr>
    <w:rPr>
      <w:rFonts w:ascii="Cambria" w:hAnsi="Cambria"/>
      <w:b/>
      <w:bCs/>
      <w:i/>
      <w:iCs/>
      <w:sz w:val="28"/>
      <w:szCs w:val="28"/>
      <w:lang w:bidi="ar-SA"/>
    </w:rPr>
  </w:style>
  <w:style w:type="paragraph" w:styleId="4">
    <w:name w:val="heading 3"/>
    <w:basedOn w:val="1"/>
    <w:next w:val="1"/>
    <w:link w:val="29"/>
    <w:qFormat/>
    <w:uiPriority w:val="0"/>
    <w:pPr>
      <w:keepNext/>
      <w:spacing w:before="240" w:after="60"/>
      <w:outlineLvl w:val="2"/>
    </w:pPr>
    <w:rPr>
      <w:rFonts w:ascii="Cambria" w:hAnsi="Cambria"/>
      <w:b/>
      <w:bCs/>
      <w:sz w:val="26"/>
      <w:szCs w:val="26"/>
      <w:lang w:bidi="ar-SA"/>
    </w:rPr>
  </w:style>
  <w:style w:type="paragraph" w:styleId="5">
    <w:name w:val="heading 4"/>
    <w:basedOn w:val="1"/>
    <w:next w:val="1"/>
    <w:link w:val="30"/>
    <w:qFormat/>
    <w:uiPriority w:val="0"/>
    <w:pPr>
      <w:keepNext/>
      <w:spacing w:before="240" w:after="60"/>
      <w:outlineLvl w:val="3"/>
    </w:pPr>
    <w:rPr>
      <w:b/>
      <w:bCs/>
      <w:sz w:val="28"/>
      <w:szCs w:val="28"/>
      <w:lang w:bidi="ar-SA"/>
    </w:rPr>
  </w:style>
  <w:style w:type="paragraph" w:styleId="6">
    <w:name w:val="heading 5"/>
    <w:basedOn w:val="1"/>
    <w:next w:val="1"/>
    <w:link w:val="31"/>
    <w:qFormat/>
    <w:uiPriority w:val="0"/>
    <w:pPr>
      <w:spacing w:before="240" w:after="60"/>
      <w:outlineLvl w:val="4"/>
    </w:pPr>
    <w:rPr>
      <w:b/>
      <w:bCs/>
      <w:i/>
      <w:iCs/>
      <w:sz w:val="26"/>
      <w:szCs w:val="26"/>
      <w:lang w:bidi="ar-SA"/>
    </w:rPr>
  </w:style>
  <w:style w:type="paragraph" w:styleId="7">
    <w:name w:val="heading 6"/>
    <w:basedOn w:val="1"/>
    <w:next w:val="1"/>
    <w:link w:val="32"/>
    <w:qFormat/>
    <w:uiPriority w:val="0"/>
    <w:pPr>
      <w:spacing w:before="240" w:after="60"/>
      <w:outlineLvl w:val="5"/>
    </w:pPr>
    <w:rPr>
      <w:b/>
      <w:bCs/>
      <w:sz w:val="20"/>
      <w:szCs w:val="20"/>
      <w:lang w:bidi="ar-SA"/>
    </w:rPr>
  </w:style>
  <w:style w:type="paragraph" w:styleId="8">
    <w:name w:val="heading 7"/>
    <w:basedOn w:val="1"/>
    <w:next w:val="1"/>
    <w:link w:val="33"/>
    <w:qFormat/>
    <w:uiPriority w:val="0"/>
    <w:pPr>
      <w:spacing w:before="240" w:after="60"/>
      <w:outlineLvl w:val="6"/>
    </w:pPr>
    <w:rPr>
      <w:lang w:bidi="ar-SA"/>
    </w:rPr>
  </w:style>
  <w:style w:type="paragraph" w:styleId="9">
    <w:name w:val="heading 8"/>
    <w:basedOn w:val="1"/>
    <w:next w:val="1"/>
    <w:link w:val="34"/>
    <w:qFormat/>
    <w:uiPriority w:val="0"/>
    <w:pPr>
      <w:spacing w:before="240" w:after="60"/>
      <w:outlineLvl w:val="7"/>
    </w:pPr>
    <w:rPr>
      <w:i/>
      <w:iCs/>
      <w:lang w:bidi="ar-SA"/>
    </w:rPr>
  </w:style>
  <w:style w:type="paragraph" w:styleId="10">
    <w:name w:val="heading 9"/>
    <w:basedOn w:val="1"/>
    <w:next w:val="1"/>
    <w:link w:val="35"/>
    <w:qFormat/>
    <w:uiPriority w:val="0"/>
    <w:pPr>
      <w:spacing w:before="240" w:after="60"/>
      <w:outlineLvl w:val="8"/>
    </w:pPr>
    <w:rPr>
      <w:rFonts w:ascii="Cambria" w:hAnsi="Cambria"/>
      <w:sz w:val="20"/>
      <w:szCs w:val="20"/>
      <w:lang w:bidi="ar-SA"/>
    </w:rPr>
  </w:style>
  <w:style w:type="character" w:default="1" w:styleId="22">
    <w:name w:val="Default Paragraph Font"/>
    <w:semiHidden/>
    <w:unhideWhenUsed/>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36"/>
    <w:qFormat/>
    <w:uiPriority w:val="0"/>
    <w:rPr>
      <w:sz w:val="21"/>
      <w:szCs w:val="21"/>
      <w:lang w:bidi="ar-SA"/>
    </w:rPr>
  </w:style>
  <w:style w:type="paragraph" w:styleId="12">
    <w:name w:val="Body Text"/>
    <w:basedOn w:val="1"/>
    <w:qFormat/>
    <w:uiPriority w:val="1"/>
    <w:rPr>
      <w:rFonts w:ascii="宋体" w:hAnsi="宋体" w:cs="宋体"/>
      <w:sz w:val="21"/>
      <w:szCs w:val="21"/>
    </w:rPr>
  </w:style>
  <w:style w:type="paragraph" w:styleId="13">
    <w:name w:val="Plain Text"/>
    <w:basedOn w:val="1"/>
    <w:link w:val="37"/>
    <w:uiPriority w:val="0"/>
    <w:rPr>
      <w:rFonts w:ascii="宋体" w:hAnsi="Courier New"/>
      <w:sz w:val="21"/>
      <w:szCs w:val="21"/>
      <w:lang w:bidi="ar-SA"/>
    </w:rPr>
  </w:style>
  <w:style w:type="paragraph" w:styleId="14">
    <w:name w:val="Date"/>
    <w:basedOn w:val="1"/>
    <w:next w:val="1"/>
    <w:link w:val="38"/>
    <w:qFormat/>
    <w:uiPriority w:val="0"/>
    <w:pPr>
      <w:ind w:left="100" w:leftChars="2500"/>
    </w:pPr>
    <w:rPr>
      <w:sz w:val="21"/>
      <w:szCs w:val="21"/>
      <w:lang w:bidi="ar-SA"/>
    </w:rPr>
  </w:style>
  <w:style w:type="paragraph" w:styleId="15">
    <w:name w:val="Balloon Text"/>
    <w:basedOn w:val="1"/>
    <w:link w:val="39"/>
    <w:uiPriority w:val="0"/>
    <w:rPr>
      <w:sz w:val="18"/>
      <w:szCs w:val="18"/>
      <w:lang w:bidi="ar-SA"/>
    </w:rPr>
  </w:style>
  <w:style w:type="paragraph" w:styleId="16">
    <w:name w:val="footer"/>
    <w:basedOn w:val="1"/>
    <w:link w:val="40"/>
    <w:qFormat/>
    <w:uiPriority w:val="0"/>
    <w:pPr>
      <w:tabs>
        <w:tab w:val="center" w:pos="4153"/>
        <w:tab w:val="right" w:pos="8306"/>
      </w:tabs>
      <w:snapToGrid w:val="0"/>
    </w:pPr>
    <w:rPr>
      <w:sz w:val="18"/>
      <w:szCs w:val="18"/>
      <w:lang w:bidi="ar-SA"/>
    </w:rPr>
  </w:style>
  <w:style w:type="paragraph" w:styleId="17">
    <w:name w:val="header"/>
    <w:basedOn w:val="1"/>
    <w:link w:val="41"/>
    <w:uiPriority w:val="0"/>
    <w:pPr>
      <w:pBdr>
        <w:bottom w:val="single" w:color="auto" w:sz="6" w:space="1"/>
      </w:pBdr>
      <w:tabs>
        <w:tab w:val="center" w:pos="4153"/>
        <w:tab w:val="right" w:pos="8306"/>
      </w:tabs>
      <w:snapToGrid w:val="0"/>
      <w:jc w:val="center"/>
    </w:pPr>
    <w:rPr>
      <w:sz w:val="18"/>
      <w:szCs w:val="18"/>
      <w:lang w:bidi="ar-SA"/>
    </w:rPr>
  </w:style>
  <w:style w:type="paragraph" w:styleId="18">
    <w:name w:val="Subtitle"/>
    <w:basedOn w:val="1"/>
    <w:next w:val="1"/>
    <w:link w:val="42"/>
    <w:qFormat/>
    <w:uiPriority w:val="0"/>
    <w:pPr>
      <w:spacing w:after="60"/>
      <w:jc w:val="center"/>
      <w:outlineLvl w:val="1"/>
    </w:pPr>
    <w:rPr>
      <w:rFonts w:ascii="Cambria" w:hAnsi="Cambria"/>
      <w:lang w:bidi="ar-SA"/>
    </w:rPr>
  </w:style>
  <w:style w:type="paragraph" w:styleId="19">
    <w:name w:val="Title"/>
    <w:basedOn w:val="1"/>
    <w:next w:val="1"/>
    <w:link w:val="43"/>
    <w:qFormat/>
    <w:uiPriority w:val="0"/>
    <w:pPr>
      <w:spacing w:before="240" w:after="60"/>
      <w:jc w:val="center"/>
      <w:outlineLvl w:val="0"/>
    </w:pPr>
    <w:rPr>
      <w:rFonts w:ascii="Cambria" w:hAnsi="Cambria"/>
      <w:b/>
      <w:bCs/>
      <w:kern w:val="28"/>
      <w:sz w:val="32"/>
      <w:szCs w:val="32"/>
      <w:lang w:bidi="ar-SA"/>
    </w:rPr>
  </w:style>
  <w:style w:type="paragraph" w:styleId="20">
    <w:name w:val="annotation subject"/>
    <w:basedOn w:val="11"/>
    <w:next w:val="11"/>
    <w:qFormat/>
    <w:uiPriority w:val="0"/>
    <w:rPr>
      <w:rFonts w:ascii="Calibri" w:hAnsi="Calibri"/>
      <w:b/>
      <w:bCs/>
      <w:sz w:val="24"/>
      <w:szCs w:val="24"/>
    </w:rPr>
  </w:style>
  <w:style w:type="character" w:styleId="23">
    <w:name w:val="Strong"/>
    <w:qFormat/>
    <w:uiPriority w:val="0"/>
    <w:rPr>
      <w:b/>
      <w:bCs/>
    </w:rPr>
  </w:style>
  <w:style w:type="character" w:styleId="24">
    <w:name w:val="page number"/>
    <w:qFormat/>
    <w:uiPriority w:val="0"/>
    <w:rPr>
      <w:rFonts w:ascii="Times New Roman" w:hAnsi="Times New Roman" w:eastAsia="宋体"/>
      <w:sz w:val="18"/>
    </w:rPr>
  </w:style>
  <w:style w:type="character" w:styleId="25">
    <w:name w:val="Emphasis"/>
    <w:qFormat/>
    <w:uiPriority w:val="0"/>
    <w:rPr>
      <w:rFonts w:ascii="Calibri" w:hAnsi="Calibri"/>
      <w:b/>
      <w:i/>
      <w:iCs/>
    </w:rPr>
  </w:style>
  <w:style w:type="character" w:styleId="26">
    <w:name w:val="annotation reference"/>
    <w:uiPriority w:val="0"/>
    <w:rPr>
      <w:sz w:val="21"/>
      <w:szCs w:val="21"/>
    </w:rPr>
  </w:style>
  <w:style w:type="character" w:customStyle="1" w:styleId="27">
    <w:name w:val="标题 1 Char"/>
    <w:link w:val="2"/>
    <w:uiPriority w:val="0"/>
    <w:rPr>
      <w:rFonts w:ascii="Cambria" w:hAnsi="Cambria" w:eastAsia="宋体"/>
      <w:b/>
      <w:bCs/>
      <w:kern w:val="32"/>
      <w:sz w:val="32"/>
      <w:szCs w:val="32"/>
    </w:rPr>
  </w:style>
  <w:style w:type="character" w:customStyle="1" w:styleId="28">
    <w:name w:val="标题 2 Char"/>
    <w:link w:val="3"/>
    <w:uiPriority w:val="0"/>
    <w:rPr>
      <w:rFonts w:ascii="Cambria" w:hAnsi="Cambria" w:eastAsia="宋体"/>
      <w:b/>
      <w:bCs/>
      <w:i/>
      <w:iCs/>
      <w:sz w:val="28"/>
      <w:szCs w:val="28"/>
    </w:rPr>
  </w:style>
  <w:style w:type="character" w:customStyle="1" w:styleId="29">
    <w:name w:val="标题 3 Char"/>
    <w:link w:val="4"/>
    <w:uiPriority w:val="0"/>
    <w:rPr>
      <w:rFonts w:ascii="Cambria" w:hAnsi="Cambria" w:eastAsia="宋体"/>
      <w:b/>
      <w:bCs/>
      <w:sz w:val="26"/>
      <w:szCs w:val="26"/>
    </w:rPr>
  </w:style>
  <w:style w:type="character" w:customStyle="1" w:styleId="30">
    <w:name w:val="标题 4 Char"/>
    <w:link w:val="5"/>
    <w:qFormat/>
    <w:uiPriority w:val="0"/>
    <w:rPr>
      <w:b/>
      <w:bCs/>
      <w:sz w:val="28"/>
      <w:szCs w:val="28"/>
    </w:rPr>
  </w:style>
  <w:style w:type="character" w:customStyle="1" w:styleId="31">
    <w:name w:val="标题 5 Char"/>
    <w:link w:val="6"/>
    <w:uiPriority w:val="0"/>
    <w:rPr>
      <w:b/>
      <w:bCs/>
      <w:i/>
      <w:iCs/>
      <w:sz w:val="26"/>
      <w:szCs w:val="26"/>
    </w:rPr>
  </w:style>
  <w:style w:type="character" w:customStyle="1" w:styleId="32">
    <w:name w:val="标题 6 Char"/>
    <w:link w:val="7"/>
    <w:uiPriority w:val="0"/>
    <w:rPr>
      <w:b/>
      <w:bCs/>
    </w:rPr>
  </w:style>
  <w:style w:type="character" w:customStyle="1" w:styleId="33">
    <w:name w:val="标题 7 Char"/>
    <w:link w:val="8"/>
    <w:uiPriority w:val="0"/>
    <w:rPr>
      <w:sz w:val="24"/>
      <w:szCs w:val="24"/>
    </w:rPr>
  </w:style>
  <w:style w:type="character" w:customStyle="1" w:styleId="34">
    <w:name w:val="标题 8 Char"/>
    <w:link w:val="9"/>
    <w:qFormat/>
    <w:uiPriority w:val="0"/>
    <w:rPr>
      <w:i/>
      <w:iCs/>
      <w:sz w:val="24"/>
      <w:szCs w:val="24"/>
    </w:rPr>
  </w:style>
  <w:style w:type="character" w:customStyle="1" w:styleId="35">
    <w:name w:val="标题 9 Char"/>
    <w:link w:val="10"/>
    <w:qFormat/>
    <w:uiPriority w:val="0"/>
    <w:rPr>
      <w:rFonts w:ascii="Cambria" w:hAnsi="Cambria" w:eastAsia="宋体"/>
    </w:rPr>
  </w:style>
  <w:style w:type="character" w:customStyle="1" w:styleId="36">
    <w:name w:val="批注文字 Char"/>
    <w:link w:val="11"/>
    <w:uiPriority w:val="0"/>
    <w:rPr>
      <w:rFonts w:ascii="Times New Roman" w:hAnsi="Times New Roman" w:eastAsia="宋体" w:cs="Times New Roman"/>
      <w:sz w:val="21"/>
      <w:szCs w:val="21"/>
    </w:rPr>
  </w:style>
  <w:style w:type="character" w:customStyle="1" w:styleId="37">
    <w:name w:val="纯文本 Char"/>
    <w:link w:val="13"/>
    <w:uiPriority w:val="0"/>
    <w:rPr>
      <w:rFonts w:ascii="宋体" w:hAnsi="Courier New" w:eastAsia="宋体" w:cs="宋体"/>
      <w:sz w:val="21"/>
      <w:szCs w:val="21"/>
    </w:rPr>
  </w:style>
  <w:style w:type="character" w:customStyle="1" w:styleId="38">
    <w:name w:val="日期 Char"/>
    <w:link w:val="14"/>
    <w:uiPriority w:val="0"/>
    <w:rPr>
      <w:rFonts w:ascii="Times New Roman" w:hAnsi="Times New Roman" w:eastAsia="宋体" w:cs="Times New Roman"/>
      <w:sz w:val="21"/>
      <w:szCs w:val="21"/>
    </w:rPr>
  </w:style>
  <w:style w:type="character" w:customStyle="1" w:styleId="39">
    <w:name w:val="批注框文本 Char"/>
    <w:link w:val="15"/>
    <w:qFormat/>
    <w:uiPriority w:val="0"/>
    <w:rPr>
      <w:sz w:val="18"/>
      <w:szCs w:val="18"/>
    </w:rPr>
  </w:style>
  <w:style w:type="character" w:customStyle="1" w:styleId="40">
    <w:name w:val="页脚 Char"/>
    <w:link w:val="16"/>
    <w:uiPriority w:val="0"/>
    <w:rPr>
      <w:rFonts w:ascii="Times New Roman" w:hAnsi="Times New Roman" w:eastAsia="宋体" w:cs="Times New Roman"/>
      <w:sz w:val="18"/>
      <w:szCs w:val="18"/>
    </w:rPr>
  </w:style>
  <w:style w:type="character" w:customStyle="1" w:styleId="41">
    <w:name w:val="页眉 Char"/>
    <w:link w:val="17"/>
    <w:uiPriority w:val="0"/>
    <w:rPr>
      <w:rFonts w:ascii="Times New Roman" w:hAnsi="Times New Roman" w:eastAsia="宋体" w:cs="Times New Roman"/>
      <w:sz w:val="18"/>
      <w:szCs w:val="18"/>
    </w:rPr>
  </w:style>
  <w:style w:type="character" w:customStyle="1" w:styleId="42">
    <w:name w:val="副标题 Char"/>
    <w:link w:val="18"/>
    <w:qFormat/>
    <w:uiPriority w:val="0"/>
    <w:rPr>
      <w:rFonts w:ascii="Cambria" w:hAnsi="Cambria" w:eastAsia="宋体"/>
      <w:sz w:val="24"/>
      <w:szCs w:val="24"/>
    </w:rPr>
  </w:style>
  <w:style w:type="character" w:customStyle="1" w:styleId="43">
    <w:name w:val="标题 Char"/>
    <w:link w:val="19"/>
    <w:uiPriority w:val="0"/>
    <w:rPr>
      <w:rFonts w:ascii="Cambria" w:hAnsi="Cambria" w:eastAsia="宋体"/>
      <w:b/>
      <w:bCs/>
      <w:kern w:val="28"/>
      <w:sz w:val="32"/>
      <w:szCs w:val="32"/>
    </w:rPr>
  </w:style>
  <w:style w:type="character" w:customStyle="1" w:styleId="44">
    <w:name w:val="Book Title"/>
    <w:qFormat/>
    <w:uiPriority w:val="0"/>
    <w:rPr>
      <w:rFonts w:ascii="Cambria" w:hAnsi="Cambria" w:eastAsia="宋体"/>
      <w:b/>
      <w:i/>
      <w:sz w:val="24"/>
      <w:szCs w:val="24"/>
    </w:rPr>
  </w:style>
  <w:style w:type="character" w:customStyle="1" w:styleId="45">
    <w:name w:val="引用 Char"/>
    <w:link w:val="46"/>
    <w:uiPriority w:val="0"/>
    <w:rPr>
      <w:i/>
      <w:sz w:val="24"/>
      <w:szCs w:val="24"/>
    </w:rPr>
  </w:style>
  <w:style w:type="paragraph" w:styleId="46">
    <w:name w:val="Quote"/>
    <w:basedOn w:val="1"/>
    <w:next w:val="1"/>
    <w:link w:val="45"/>
    <w:qFormat/>
    <w:uiPriority w:val="0"/>
    <w:rPr>
      <w:i/>
      <w:lang w:bidi="ar-SA"/>
    </w:rPr>
  </w:style>
  <w:style w:type="character" w:customStyle="1" w:styleId="47">
    <w:name w:val="Subtle Emphasis"/>
    <w:qFormat/>
    <w:uiPriority w:val="0"/>
    <w:rPr>
      <w:i/>
      <w:color w:val="5A5A5A"/>
    </w:rPr>
  </w:style>
  <w:style w:type="character" w:customStyle="1" w:styleId="48">
    <w:name w:val="Intense Reference"/>
    <w:qFormat/>
    <w:uiPriority w:val="0"/>
    <w:rPr>
      <w:b/>
      <w:sz w:val="24"/>
      <w:u w:val="single"/>
    </w:rPr>
  </w:style>
  <w:style w:type="character" w:customStyle="1" w:styleId="49">
    <w:name w:val="Intense Emphasis"/>
    <w:qFormat/>
    <w:uiPriority w:val="0"/>
    <w:rPr>
      <w:b/>
      <w:i/>
      <w:sz w:val="24"/>
      <w:szCs w:val="24"/>
      <w:u w:val="single"/>
    </w:rPr>
  </w:style>
  <w:style w:type="character" w:customStyle="1" w:styleId="50">
    <w:name w:val="Subtle Reference"/>
    <w:qFormat/>
    <w:uiPriority w:val="0"/>
    <w:rPr>
      <w:sz w:val="24"/>
      <w:szCs w:val="24"/>
      <w:u w:val="single"/>
    </w:rPr>
  </w:style>
  <w:style w:type="character" w:customStyle="1" w:styleId="51">
    <w:name w:val="明显引用 Char"/>
    <w:link w:val="52"/>
    <w:qFormat/>
    <w:uiPriority w:val="0"/>
    <w:rPr>
      <w:b/>
      <w:i/>
      <w:sz w:val="24"/>
    </w:rPr>
  </w:style>
  <w:style w:type="paragraph" w:styleId="52">
    <w:name w:val="Intense Quote"/>
    <w:basedOn w:val="1"/>
    <w:next w:val="1"/>
    <w:link w:val="51"/>
    <w:qFormat/>
    <w:uiPriority w:val="0"/>
    <w:pPr>
      <w:ind w:left="720" w:right="720"/>
    </w:pPr>
    <w:rPr>
      <w:b/>
      <w:i/>
      <w:szCs w:val="20"/>
      <w:lang w:bidi="ar-SA"/>
    </w:rPr>
  </w:style>
  <w:style w:type="paragraph" w:styleId="53">
    <w:name w:val="List Paragraph"/>
    <w:basedOn w:val="1"/>
    <w:qFormat/>
    <w:uiPriority w:val="0"/>
    <w:pPr>
      <w:ind w:left="720"/>
    </w:pPr>
  </w:style>
  <w:style w:type="paragraph" w:customStyle="1" w:styleId="54">
    <w:name w:val="TOC Heading"/>
    <w:basedOn w:val="2"/>
    <w:next w:val="1"/>
    <w:qFormat/>
    <w:uiPriority w:val="0"/>
    <w:pPr>
      <w:outlineLvl w:val="9"/>
    </w:pPr>
  </w:style>
  <w:style w:type="paragraph" w:customStyle="1" w:styleId="55">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styleId="56">
    <w:name w:val="No Spacing"/>
    <w:basedOn w:val="1"/>
    <w:qFormat/>
    <w:uiPriority w:val="0"/>
    <w:rPr>
      <w:szCs w:val="32"/>
    </w:rPr>
  </w:style>
  <w:style w:type="paragraph" w:customStyle="1" w:styleId="57">
    <w:name w:val="标准书脚_奇数页"/>
    <w:qFormat/>
    <w:uiPriority w:val="0"/>
    <w:pPr>
      <w:spacing w:before="120"/>
      <w:jc w:val="right"/>
    </w:pPr>
    <w:rPr>
      <w:rFonts w:ascii="Times New Roman" w:hAnsi="Times New Roman" w:eastAsia="宋体" w:cs="Times New Roman"/>
      <w:sz w:val="18"/>
      <w:lang w:val="en-US" w:eastAsia="zh-CN" w:bidi="ar-SA"/>
    </w:rPr>
  </w:style>
  <w:style w:type="character" w:customStyle="1" w:styleId="58">
    <w:name w:val="正文文本 (2)_"/>
    <w:link w:val="59"/>
    <w:qFormat/>
    <w:uiPriority w:val="0"/>
    <w:rPr>
      <w:rFonts w:eastAsia="Times New Roman"/>
    </w:rPr>
  </w:style>
  <w:style w:type="paragraph" w:customStyle="1" w:styleId="59">
    <w:name w:val="正文文本 (2)"/>
    <w:basedOn w:val="1"/>
    <w:link w:val="58"/>
    <w:uiPriority w:val="0"/>
    <w:pPr>
      <w:widowControl w:val="0"/>
      <w:spacing w:after="60"/>
      <w:ind w:firstLine="420"/>
    </w:pPr>
    <w:rPr>
      <w:rFonts w:eastAsia="Times New Roman"/>
      <w:sz w:val="20"/>
      <w:szCs w:val="20"/>
      <w:lang w:eastAsia="zh-CN" w:bidi="ar-SA"/>
    </w:rPr>
  </w:style>
  <w:style w:type="character" w:customStyle="1" w:styleId="60">
    <w:name w:val="正文文本_"/>
    <w:link w:val="61"/>
    <w:uiPriority w:val="0"/>
    <w:rPr>
      <w:rFonts w:ascii="宋体" w:hAnsi="宋体" w:eastAsia="宋体" w:cs="宋体"/>
      <w:lang w:val="zh-CN" w:bidi="zh-CN"/>
    </w:rPr>
  </w:style>
  <w:style w:type="paragraph" w:customStyle="1" w:styleId="61">
    <w:name w:val="正文文本1"/>
    <w:basedOn w:val="1"/>
    <w:link w:val="60"/>
    <w:qFormat/>
    <w:uiPriority w:val="0"/>
    <w:pPr>
      <w:widowControl w:val="0"/>
      <w:spacing w:line="329" w:lineRule="auto"/>
      <w:ind w:firstLine="200"/>
    </w:pPr>
    <w:rPr>
      <w:rFonts w:ascii="宋体" w:hAnsi="宋体" w:cs="宋体"/>
      <w:sz w:val="20"/>
      <w:szCs w:val="20"/>
      <w:lang w:val="zh-CN" w:eastAsia="zh-CN" w:bidi="zh-CN"/>
    </w:rPr>
  </w:style>
  <w:style w:type="character" w:customStyle="1" w:styleId="62">
    <w:name w:val="页眉或页脚 (2)_"/>
    <w:link w:val="63"/>
    <w:qFormat/>
    <w:uiPriority w:val="0"/>
    <w:rPr>
      <w:rFonts w:eastAsia="Times New Roman"/>
      <w:lang w:val="zh-CN" w:bidi="zh-CN"/>
    </w:rPr>
  </w:style>
  <w:style w:type="paragraph" w:customStyle="1" w:styleId="63">
    <w:name w:val="页眉或页脚 (2)"/>
    <w:basedOn w:val="1"/>
    <w:link w:val="62"/>
    <w:qFormat/>
    <w:uiPriority w:val="0"/>
    <w:pPr>
      <w:widowControl w:val="0"/>
    </w:pPr>
    <w:rPr>
      <w:rFonts w:eastAsia="Times New Roman"/>
      <w:sz w:val="20"/>
      <w:szCs w:val="20"/>
      <w:lang w:val="zh-CN" w:eastAsia="zh-CN" w:bidi="zh-CN"/>
    </w:rPr>
  </w:style>
  <w:style w:type="character" w:customStyle="1" w:styleId="64">
    <w:name w:val="表格标题_"/>
    <w:link w:val="65"/>
    <w:uiPriority w:val="0"/>
    <w:rPr>
      <w:rFonts w:ascii="宋体" w:hAnsi="宋体" w:eastAsia="宋体" w:cs="宋体"/>
      <w:sz w:val="15"/>
      <w:szCs w:val="15"/>
      <w:lang w:val="zh-CN" w:bidi="zh-CN"/>
    </w:rPr>
  </w:style>
  <w:style w:type="paragraph" w:customStyle="1" w:styleId="65">
    <w:name w:val="表格标题"/>
    <w:basedOn w:val="1"/>
    <w:link w:val="64"/>
    <w:qFormat/>
    <w:uiPriority w:val="0"/>
    <w:pPr>
      <w:widowControl w:val="0"/>
    </w:pPr>
    <w:rPr>
      <w:rFonts w:ascii="宋体" w:hAnsi="宋体" w:cs="宋体"/>
      <w:sz w:val="15"/>
      <w:szCs w:val="15"/>
      <w:lang w:val="zh-CN" w:eastAsia="zh-CN" w:bidi="zh-CN"/>
    </w:rPr>
  </w:style>
  <w:style w:type="character" w:customStyle="1" w:styleId="66">
    <w:name w:val="其他_"/>
    <w:link w:val="67"/>
    <w:uiPriority w:val="0"/>
    <w:rPr>
      <w:rFonts w:ascii="宋体" w:hAnsi="宋体" w:eastAsia="宋体" w:cs="宋体"/>
    </w:rPr>
  </w:style>
  <w:style w:type="paragraph" w:customStyle="1" w:styleId="67">
    <w:name w:val="其他"/>
    <w:basedOn w:val="1"/>
    <w:link w:val="66"/>
    <w:qFormat/>
    <w:uiPriority w:val="0"/>
    <w:pPr>
      <w:widowControl w:val="0"/>
      <w:spacing w:line="329" w:lineRule="auto"/>
      <w:ind w:firstLine="200"/>
    </w:pPr>
    <w:rPr>
      <w:rFonts w:ascii="宋体" w:hAnsi="宋体" w:cs="宋体"/>
      <w:sz w:val="20"/>
      <w:szCs w:val="20"/>
      <w:lang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1.jpeg"/><Relationship Id="rId12" Type="http://schemas.openxmlformats.org/officeDocument/2006/relationships/theme" Target="theme/theme1.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5"/>
    <customShpInfo spid="_x0000_s1026"/>
    <customShpInfo spid="_x0000_s1029"/>
    <customShpInfo spid="_x0000_s1030"/>
    <customShpInfo spid="_x0000_s205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nicpbp</Company>
  <Pages>10</Pages>
  <Words>3609</Words>
  <Characters>5860</Characters>
  <Lines>25</Lines>
  <Paragraphs>13</Paragraphs>
  <TotalTime>6</TotalTime>
  <ScaleCrop>false</ScaleCrop>
  <LinksUpToDate>false</LinksUpToDate>
  <CharactersWithSpaces>6345</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2024-07-11T06:38:00Z</dcterms:created>
  <dc:creator>ypf</dc:creator>
  <cp:lastModifiedBy>耳东火华 </cp:lastModifiedBy>
  <cp:lastPrinted>2016-01-22T03:11:00Z</cp:lastPrinted>
  <dcterms:modified xsi:type="dcterms:W3CDTF">2024-07-19T03:16:47Z</dcterms:modified>
  <dc:title>ICS  65</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FE0DA033BFE14EB6A7AA62BED8032826</vt:lpwstr>
  </property>
</Properties>
</file>